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DF8" w:rsidRPr="007A71D6" w:rsidRDefault="00745DAF">
      <w:pPr>
        <w:rPr>
          <w:rFonts w:cstheme="minorHAnsi"/>
          <w:b/>
          <w:color w:val="000000" w:themeColor="text1"/>
          <w:sz w:val="28"/>
          <w:lang w:val="en-US"/>
        </w:rPr>
      </w:pPr>
      <w:bookmarkStart w:id="0" w:name="_GoBack"/>
      <w:bookmarkEnd w:id="0"/>
      <w:r w:rsidRPr="007A71D6">
        <w:rPr>
          <w:rFonts w:cstheme="minorHAnsi"/>
          <w:b/>
          <w:color w:val="000000" w:themeColor="text1"/>
          <w:sz w:val="28"/>
          <w:lang w:val="en-US"/>
        </w:rPr>
        <w:t>Learning Outcomes for PGC or Lecturer Training Programmes,</w:t>
      </w:r>
      <w:r w:rsidR="00DF2361" w:rsidRPr="007A71D6">
        <w:rPr>
          <w:rFonts w:cstheme="minorHAnsi"/>
          <w:b/>
          <w:color w:val="000000" w:themeColor="text1"/>
          <w:sz w:val="28"/>
          <w:lang w:val="en-US"/>
        </w:rPr>
        <w:t xml:space="preserve"> as collected from the SEDA mailing list, in September 2018</w:t>
      </w:r>
    </w:p>
    <w:p w:rsidR="00DF2361" w:rsidRPr="00A319F3" w:rsidRDefault="002C7C94" w:rsidP="00DF2361">
      <w:pPr>
        <w:shd w:val="clear" w:color="auto" w:fill="FFFFFF"/>
        <w:rPr>
          <w:rFonts w:cstheme="minorHAnsi"/>
          <w:b/>
          <w:color w:val="000000" w:themeColor="text1"/>
          <w:shd w:val="clear" w:color="auto" w:fill="FFFFFF"/>
        </w:rPr>
      </w:pPr>
      <w:r w:rsidRPr="00A319F3">
        <w:rPr>
          <w:rFonts w:cstheme="minorHAnsi"/>
          <w:b/>
          <w:color w:val="000000" w:themeColor="text1"/>
          <w:lang w:val="en-US"/>
        </w:rPr>
        <w:t>Chosen from the selection collected by</w:t>
      </w:r>
      <w:r w:rsidR="00DF2361" w:rsidRPr="00A319F3">
        <w:rPr>
          <w:rFonts w:cstheme="minorHAnsi"/>
          <w:b/>
          <w:color w:val="000000" w:themeColor="text1"/>
          <w:lang w:val="en-US"/>
        </w:rPr>
        <w:t xml:space="preserve"> </w:t>
      </w:r>
      <w:r w:rsidR="00DF2361" w:rsidRPr="00A319F3">
        <w:rPr>
          <w:rFonts w:eastAsia="Times New Roman" w:cstheme="minorHAnsi"/>
          <w:b/>
          <w:color w:val="000000" w:themeColor="text1"/>
          <w:lang w:val="en-US"/>
        </w:rPr>
        <w:t xml:space="preserve">Donna </w:t>
      </w:r>
      <w:proofErr w:type="spellStart"/>
      <w:r w:rsidR="00DF2361" w:rsidRPr="00A319F3">
        <w:rPr>
          <w:rFonts w:eastAsia="Times New Roman" w:cstheme="minorHAnsi"/>
          <w:b/>
          <w:color w:val="000000" w:themeColor="text1"/>
          <w:lang w:val="en-US"/>
        </w:rPr>
        <w:t>Hurford</w:t>
      </w:r>
      <w:proofErr w:type="spellEnd"/>
      <w:r w:rsidR="00DF2361" w:rsidRPr="00A319F3">
        <w:rPr>
          <w:rFonts w:eastAsia="Times New Roman" w:cstheme="minorHAnsi"/>
          <w:b/>
          <w:color w:val="000000" w:themeColor="text1"/>
          <w:lang w:val="en-US"/>
        </w:rPr>
        <w:t xml:space="preserve">, PhD, </w:t>
      </w:r>
      <w:r w:rsidR="00DF2361" w:rsidRPr="00DF2361">
        <w:rPr>
          <w:rFonts w:eastAsia="Times New Roman" w:cstheme="minorHAnsi"/>
          <w:b/>
          <w:color w:val="000000" w:themeColor="text1"/>
          <w:lang w:val="en-US"/>
        </w:rPr>
        <w:t>Special Consultant, Centre for Teaching and Learning</w:t>
      </w:r>
      <w:r w:rsidR="00DF2361" w:rsidRPr="00A319F3">
        <w:rPr>
          <w:rFonts w:eastAsia="Times New Roman" w:cstheme="minorHAnsi"/>
          <w:b/>
          <w:color w:val="000000" w:themeColor="text1"/>
          <w:lang w:val="en-US"/>
        </w:rPr>
        <w:t xml:space="preserve">, </w:t>
      </w:r>
      <w:r w:rsidR="00DF2361" w:rsidRPr="00DF2361">
        <w:rPr>
          <w:rFonts w:eastAsia="Times New Roman" w:cstheme="minorHAnsi"/>
          <w:b/>
          <w:color w:val="000000" w:themeColor="text1"/>
          <w:lang w:val="en-US"/>
        </w:rPr>
        <w:t>University of Southern Denmark</w:t>
      </w:r>
      <w:r w:rsidR="00DF2361" w:rsidRPr="00A319F3">
        <w:rPr>
          <w:rFonts w:eastAsia="Times New Roman" w:cstheme="minorHAnsi"/>
          <w:b/>
          <w:color w:val="000000" w:themeColor="text1"/>
          <w:lang w:val="en-US"/>
        </w:rPr>
        <w:t xml:space="preserve"> </w:t>
      </w:r>
      <w:r w:rsidR="00DF2361" w:rsidRPr="00A319F3">
        <w:rPr>
          <w:rFonts w:cstheme="minorHAnsi"/>
          <w:b/>
          <w:color w:val="000000" w:themeColor="text1"/>
          <w:shd w:val="clear" w:color="auto" w:fill="FFFFFF"/>
        </w:rPr>
        <w:t>SDU, Campusvej 55, DK-5230 Odense M, Denmark</w:t>
      </w:r>
    </w:p>
    <w:p w:rsidR="00DF2361" w:rsidRPr="00DF2361" w:rsidRDefault="00DF2361" w:rsidP="00DF2361">
      <w:pPr>
        <w:shd w:val="clear" w:color="auto" w:fill="FFFFFF"/>
        <w:rPr>
          <w:rFonts w:eastAsia="Times New Roman" w:cstheme="minorHAnsi"/>
          <w:color w:val="000000" w:themeColor="text1"/>
          <w:szCs w:val="19"/>
          <w:lang w:val="en-US"/>
        </w:rPr>
      </w:pPr>
      <w:r w:rsidRPr="00A319F3">
        <w:rPr>
          <w:rFonts w:cstheme="minorHAnsi"/>
          <w:color w:val="000000" w:themeColor="text1"/>
          <w:szCs w:val="19"/>
          <w:shd w:val="clear" w:color="auto" w:fill="FFFFFF"/>
        </w:rPr>
        <w:t>(</w:t>
      </w:r>
      <w:r w:rsidR="002C7C94" w:rsidRPr="00A319F3">
        <w:rPr>
          <w:rFonts w:cstheme="minorHAnsi"/>
          <w:color w:val="000000" w:themeColor="text1"/>
          <w:szCs w:val="19"/>
          <w:shd w:val="clear" w:color="auto" w:fill="FFFFFF"/>
        </w:rPr>
        <w:t>Selected and a</w:t>
      </w:r>
      <w:r w:rsidRPr="00A319F3">
        <w:rPr>
          <w:rFonts w:cstheme="minorHAnsi"/>
          <w:color w:val="000000" w:themeColor="text1"/>
          <w:szCs w:val="19"/>
          <w:shd w:val="clear" w:color="auto" w:fill="FFFFFF"/>
        </w:rPr>
        <w:t xml:space="preserve">nonymised into </w:t>
      </w:r>
      <w:r w:rsidR="002C7C94" w:rsidRPr="00A319F3">
        <w:rPr>
          <w:rFonts w:cstheme="minorHAnsi"/>
          <w:color w:val="000000" w:themeColor="text1"/>
          <w:szCs w:val="19"/>
          <w:shd w:val="clear" w:color="auto" w:fill="FFFFFF"/>
        </w:rPr>
        <w:t xml:space="preserve">six </w:t>
      </w:r>
      <w:r w:rsidRPr="00A319F3">
        <w:rPr>
          <w:rFonts w:cstheme="minorHAnsi"/>
          <w:color w:val="000000" w:themeColor="text1"/>
          <w:szCs w:val="19"/>
          <w:shd w:val="clear" w:color="auto" w:fill="FFFFFF"/>
        </w:rPr>
        <w:t>case studies by Phil Race, as a means of comparing approaches to formulating learning outcomes for such programmes)</w:t>
      </w:r>
    </w:p>
    <w:p w:rsidR="00DF2361" w:rsidRPr="007A71D6" w:rsidRDefault="00DF2361">
      <w:pPr>
        <w:rPr>
          <w:rFonts w:cstheme="minorHAnsi"/>
          <w:b/>
          <w:color w:val="000000" w:themeColor="text1"/>
          <w:lang w:val="en-US"/>
        </w:rPr>
      </w:pPr>
    </w:p>
    <w:p w:rsidR="007A1EBC" w:rsidRPr="007A71D6" w:rsidRDefault="00DF2361">
      <w:pPr>
        <w:rPr>
          <w:rFonts w:cstheme="minorHAnsi"/>
          <w:b/>
          <w:color w:val="000000" w:themeColor="text1"/>
          <w:sz w:val="28"/>
          <w:lang w:val="en-US"/>
        </w:rPr>
      </w:pPr>
      <w:r w:rsidRPr="007A71D6">
        <w:rPr>
          <w:rFonts w:cstheme="minorHAnsi"/>
          <w:b/>
          <w:color w:val="000000" w:themeColor="text1"/>
          <w:sz w:val="28"/>
          <w:lang w:val="en-US"/>
        </w:rPr>
        <w:t>Case study 1</w:t>
      </w:r>
    </w:p>
    <w:p w:rsidR="00A319F3" w:rsidRDefault="00A319F3" w:rsidP="007A1EBC">
      <w:pPr>
        <w:rPr>
          <w:rFonts w:cstheme="minorHAnsi"/>
          <w:b/>
          <w:color w:val="000000" w:themeColor="text1"/>
          <w:lang w:val="en-GB"/>
        </w:rPr>
      </w:pPr>
      <w:r>
        <w:rPr>
          <w:rFonts w:cstheme="minorHAnsi"/>
          <w:b/>
          <w:color w:val="000000" w:themeColor="text1"/>
          <w:lang w:val="en-GB"/>
        </w:rPr>
        <w:t>Aims</w:t>
      </w:r>
    </w:p>
    <w:p w:rsidR="007A1EBC" w:rsidRPr="00A319F3" w:rsidRDefault="007A1EBC" w:rsidP="007A1EBC">
      <w:pPr>
        <w:rPr>
          <w:rFonts w:cstheme="minorHAnsi"/>
          <w:b/>
          <w:color w:val="000000" w:themeColor="text1"/>
          <w:lang w:val="en-GB"/>
        </w:rPr>
      </w:pPr>
      <w:r w:rsidRPr="007A71D6">
        <w:rPr>
          <w:rFonts w:cstheme="minorHAnsi"/>
          <w:color w:val="000000" w:themeColor="text1"/>
          <w:lang w:val="en-GB"/>
        </w:rPr>
        <w:t>We have aims for our PGCert L&amp;T in HE which are very closely aligned to the UKPSF – so are as follows:</w:t>
      </w:r>
    </w:p>
    <w:p w:rsidR="007A1EBC" w:rsidRPr="007A71D6" w:rsidRDefault="007A1EBC" w:rsidP="00DF2361">
      <w:pPr>
        <w:numPr>
          <w:ilvl w:val="0"/>
          <w:numId w:val="1"/>
        </w:numPr>
        <w:tabs>
          <w:tab w:val="clear" w:pos="720"/>
        </w:tabs>
        <w:spacing w:after="0" w:line="240" w:lineRule="auto"/>
        <w:ind w:left="567" w:hanging="567"/>
        <w:rPr>
          <w:rFonts w:cstheme="minorHAnsi"/>
          <w:color w:val="000000" w:themeColor="text1"/>
          <w:lang w:val="en-GB"/>
        </w:rPr>
      </w:pPr>
      <w:r w:rsidRPr="007A71D6">
        <w:rPr>
          <w:rFonts w:cstheme="minorHAnsi"/>
          <w:color w:val="000000" w:themeColor="text1"/>
          <w:lang w:val="en-US"/>
        </w:rPr>
        <w:t>To support the current practice and future development of those who teach or support learning in Higher Education.</w:t>
      </w:r>
    </w:p>
    <w:p w:rsidR="007A1EBC" w:rsidRPr="007A71D6" w:rsidRDefault="00DF2361" w:rsidP="00DF2361">
      <w:pPr>
        <w:numPr>
          <w:ilvl w:val="0"/>
          <w:numId w:val="1"/>
        </w:numPr>
        <w:tabs>
          <w:tab w:val="clear" w:pos="720"/>
        </w:tabs>
        <w:spacing w:after="0" w:line="240" w:lineRule="auto"/>
        <w:ind w:left="567" w:hanging="567"/>
        <w:rPr>
          <w:rFonts w:cstheme="minorHAnsi"/>
          <w:color w:val="000000" w:themeColor="text1"/>
          <w:lang w:val="en-GB"/>
        </w:rPr>
      </w:pPr>
      <w:r w:rsidRPr="007A71D6">
        <w:rPr>
          <w:rFonts w:cstheme="minorHAnsi"/>
          <w:color w:val="000000" w:themeColor="text1"/>
          <w:lang w:val="en-US"/>
        </w:rPr>
        <w:t>To enhance the ability of</w:t>
      </w:r>
      <w:r w:rsidR="007A1EBC" w:rsidRPr="007A71D6">
        <w:rPr>
          <w:rFonts w:cstheme="minorHAnsi"/>
          <w:color w:val="000000" w:themeColor="text1"/>
          <w:lang w:val="en-US"/>
        </w:rPr>
        <w:t xml:space="preserve"> participants to undertake the professional activities listed below:</w:t>
      </w:r>
    </w:p>
    <w:p w:rsidR="007A1EBC" w:rsidRPr="007A71D6" w:rsidRDefault="007A1EBC" w:rsidP="00DF2361">
      <w:pPr>
        <w:pStyle w:val="ListParagraph"/>
        <w:numPr>
          <w:ilvl w:val="0"/>
          <w:numId w:val="13"/>
        </w:numPr>
        <w:rPr>
          <w:rFonts w:cstheme="minorHAnsi"/>
          <w:color w:val="000000" w:themeColor="text1"/>
          <w:lang w:val="en-GB"/>
        </w:rPr>
      </w:pPr>
      <w:r w:rsidRPr="007A71D6">
        <w:rPr>
          <w:rFonts w:cstheme="minorHAnsi"/>
          <w:color w:val="000000" w:themeColor="text1"/>
          <w:lang w:val="en-US"/>
        </w:rPr>
        <w:t>Teaching and supporting learning in HE</w:t>
      </w:r>
    </w:p>
    <w:p w:rsidR="007A1EBC" w:rsidRPr="007A71D6" w:rsidRDefault="007A1EBC" w:rsidP="00DF2361">
      <w:pPr>
        <w:pStyle w:val="ListParagraph"/>
        <w:numPr>
          <w:ilvl w:val="0"/>
          <w:numId w:val="13"/>
        </w:numPr>
        <w:rPr>
          <w:rFonts w:cstheme="minorHAnsi"/>
          <w:color w:val="000000" w:themeColor="text1"/>
          <w:lang w:val="en-GB"/>
        </w:rPr>
      </w:pPr>
      <w:r w:rsidRPr="007A71D6">
        <w:rPr>
          <w:rFonts w:cstheme="minorHAnsi"/>
          <w:color w:val="000000" w:themeColor="text1"/>
          <w:lang w:val="en-US"/>
        </w:rPr>
        <w:t>Contributing to the design and planning of learning activities and/or programmes of study</w:t>
      </w:r>
    </w:p>
    <w:p w:rsidR="007A1EBC" w:rsidRPr="007A71D6" w:rsidRDefault="007A1EBC" w:rsidP="00DF2361">
      <w:pPr>
        <w:pStyle w:val="ListParagraph"/>
        <w:numPr>
          <w:ilvl w:val="0"/>
          <w:numId w:val="13"/>
        </w:numPr>
        <w:rPr>
          <w:rFonts w:cstheme="minorHAnsi"/>
          <w:color w:val="000000" w:themeColor="text1"/>
          <w:lang w:val="en-GB"/>
        </w:rPr>
      </w:pPr>
      <w:r w:rsidRPr="007A71D6">
        <w:rPr>
          <w:rFonts w:cstheme="minorHAnsi"/>
          <w:color w:val="000000" w:themeColor="text1"/>
          <w:lang w:val="en-US"/>
        </w:rPr>
        <w:t xml:space="preserve">Assessing and giving feedback to learners </w:t>
      </w:r>
    </w:p>
    <w:p w:rsidR="007A1EBC" w:rsidRPr="007A71D6" w:rsidRDefault="007A1EBC" w:rsidP="00DF2361">
      <w:pPr>
        <w:pStyle w:val="ListParagraph"/>
        <w:numPr>
          <w:ilvl w:val="0"/>
          <w:numId w:val="13"/>
        </w:numPr>
        <w:rPr>
          <w:rFonts w:cstheme="minorHAnsi"/>
          <w:color w:val="000000" w:themeColor="text1"/>
          <w:lang w:val="en-GB"/>
        </w:rPr>
      </w:pPr>
      <w:r w:rsidRPr="007A71D6">
        <w:rPr>
          <w:rFonts w:cstheme="minorHAnsi"/>
          <w:color w:val="000000" w:themeColor="text1"/>
          <w:lang w:val="en-US"/>
        </w:rPr>
        <w:t>Developing effective learning environments and learner support systems</w:t>
      </w:r>
    </w:p>
    <w:p w:rsidR="007A1EBC" w:rsidRPr="007A71D6" w:rsidRDefault="007A1EBC" w:rsidP="00DF2361">
      <w:pPr>
        <w:pStyle w:val="ListParagraph"/>
        <w:numPr>
          <w:ilvl w:val="0"/>
          <w:numId w:val="13"/>
        </w:numPr>
        <w:rPr>
          <w:rFonts w:cstheme="minorHAnsi"/>
          <w:color w:val="000000" w:themeColor="text1"/>
          <w:lang w:val="en-GB"/>
        </w:rPr>
      </w:pPr>
      <w:r w:rsidRPr="007A71D6">
        <w:rPr>
          <w:rFonts w:cstheme="minorHAnsi"/>
          <w:color w:val="000000" w:themeColor="text1"/>
          <w:lang w:val="en-US"/>
        </w:rPr>
        <w:t>Evaluating practice and professional development</w:t>
      </w:r>
    </w:p>
    <w:p w:rsidR="00A319F3" w:rsidRPr="00A319F3" w:rsidRDefault="007A1EBC" w:rsidP="007A1EBC">
      <w:pPr>
        <w:pStyle w:val="ListParagraph"/>
        <w:numPr>
          <w:ilvl w:val="0"/>
          <w:numId w:val="13"/>
        </w:numPr>
        <w:rPr>
          <w:rFonts w:cstheme="minorHAnsi"/>
          <w:color w:val="000000" w:themeColor="text1"/>
          <w:lang w:val="en-GB"/>
        </w:rPr>
      </w:pPr>
      <w:r w:rsidRPr="007A71D6">
        <w:rPr>
          <w:rFonts w:cstheme="minorHAnsi"/>
          <w:color w:val="000000" w:themeColor="text1"/>
          <w:lang w:val="en-US"/>
        </w:rPr>
        <w:t>Using research, s</w:t>
      </w:r>
      <w:r w:rsidR="00A319F3">
        <w:rPr>
          <w:rFonts w:cstheme="minorHAnsi"/>
          <w:color w:val="000000" w:themeColor="text1"/>
          <w:lang w:val="en-US"/>
        </w:rPr>
        <w:t>cholarly activity and relevant </w:t>
      </w:r>
      <w:r w:rsidRPr="007A71D6">
        <w:rPr>
          <w:rFonts w:cstheme="minorHAnsi"/>
          <w:color w:val="000000" w:themeColor="text1"/>
          <w:lang w:val="en-US"/>
        </w:rPr>
        <w:t>professional work to inform and impact on teaching.</w:t>
      </w:r>
    </w:p>
    <w:p w:rsidR="007A1EBC" w:rsidRPr="007A71D6" w:rsidRDefault="00DF2361" w:rsidP="007A1EBC">
      <w:pPr>
        <w:rPr>
          <w:rFonts w:cstheme="minorHAnsi"/>
          <w:color w:val="000000" w:themeColor="text1"/>
          <w:lang w:val="en-GB"/>
        </w:rPr>
      </w:pPr>
      <w:r w:rsidRPr="007A71D6">
        <w:rPr>
          <w:rFonts w:cstheme="minorHAnsi"/>
          <w:b/>
          <w:color w:val="000000" w:themeColor="text1"/>
          <w:lang w:val="en-GB"/>
        </w:rPr>
        <w:t>Learning outcomes:</w:t>
      </w:r>
      <w:r w:rsidRPr="007A71D6">
        <w:rPr>
          <w:rFonts w:cstheme="minorHAnsi"/>
          <w:color w:val="000000" w:themeColor="text1"/>
          <w:lang w:val="en-GB"/>
        </w:rPr>
        <w:t xml:space="preserve"> </w:t>
      </w:r>
      <w:r w:rsidR="007A1EBC" w:rsidRPr="007A71D6">
        <w:rPr>
          <w:rFonts w:cstheme="minorHAnsi"/>
          <w:color w:val="000000" w:themeColor="text1"/>
          <w:lang w:val="en-GB"/>
        </w:rPr>
        <w:t xml:space="preserve"> that map to the three modules (an intro one, an assessment one and an inquiry project one):</w:t>
      </w:r>
    </w:p>
    <w:p w:rsidR="007A1EBC" w:rsidRPr="007A71D6" w:rsidRDefault="007A1EBC" w:rsidP="00DF2361">
      <w:pPr>
        <w:numPr>
          <w:ilvl w:val="0"/>
          <w:numId w:val="2"/>
        </w:numPr>
        <w:tabs>
          <w:tab w:val="clear" w:pos="720"/>
          <w:tab w:val="left" w:pos="567"/>
        </w:tabs>
        <w:spacing w:after="0" w:line="240" w:lineRule="auto"/>
        <w:ind w:left="567" w:hanging="567"/>
        <w:rPr>
          <w:rFonts w:cstheme="minorHAnsi"/>
          <w:color w:val="000000" w:themeColor="text1"/>
          <w:lang w:val="en-GB"/>
        </w:rPr>
      </w:pPr>
      <w:r w:rsidRPr="007A71D6">
        <w:rPr>
          <w:rFonts w:cstheme="minorHAnsi"/>
          <w:color w:val="000000" w:themeColor="text1"/>
          <w:lang w:val="en-GB"/>
        </w:rPr>
        <w:t>Make research-informed and appropriate judgements and choices in relation to teaching, student engagement and other professional practices</w:t>
      </w:r>
    </w:p>
    <w:p w:rsidR="007A1EBC" w:rsidRPr="007A71D6" w:rsidRDefault="007A1EBC" w:rsidP="00DF2361">
      <w:pPr>
        <w:numPr>
          <w:ilvl w:val="0"/>
          <w:numId w:val="2"/>
        </w:numPr>
        <w:tabs>
          <w:tab w:val="clear" w:pos="720"/>
          <w:tab w:val="left" w:pos="567"/>
        </w:tabs>
        <w:spacing w:after="0" w:line="240" w:lineRule="auto"/>
        <w:ind w:left="567" w:hanging="567"/>
        <w:rPr>
          <w:rFonts w:cstheme="minorHAnsi"/>
          <w:color w:val="000000" w:themeColor="text1"/>
          <w:lang w:val="en-GB"/>
        </w:rPr>
      </w:pPr>
      <w:r w:rsidRPr="007A71D6">
        <w:rPr>
          <w:rFonts w:cstheme="minorHAnsi"/>
          <w:color w:val="000000" w:themeColor="text1"/>
          <w:lang w:val="en-GB"/>
        </w:rPr>
        <w:t>Frame and undertake a reflexive and rigorous scholarly investigation of an aspect of your teaching or related activity, and to disseminate this work in the context of the PGCert and beyond</w:t>
      </w:r>
    </w:p>
    <w:p w:rsidR="007A1EBC" w:rsidRPr="007A71D6" w:rsidRDefault="007A1EBC" w:rsidP="00DF2361">
      <w:pPr>
        <w:numPr>
          <w:ilvl w:val="0"/>
          <w:numId w:val="2"/>
        </w:numPr>
        <w:tabs>
          <w:tab w:val="clear" w:pos="720"/>
          <w:tab w:val="left" w:pos="567"/>
        </w:tabs>
        <w:spacing w:after="0" w:line="240" w:lineRule="auto"/>
        <w:ind w:left="567" w:hanging="567"/>
        <w:rPr>
          <w:rFonts w:cstheme="minorHAnsi"/>
          <w:color w:val="000000" w:themeColor="text1"/>
          <w:lang w:val="en-GB"/>
        </w:rPr>
      </w:pPr>
      <w:r w:rsidRPr="007A71D6">
        <w:rPr>
          <w:rFonts w:cstheme="minorHAnsi"/>
          <w:color w:val="000000" w:themeColor="text1"/>
          <w:lang w:val="en-GB"/>
        </w:rPr>
        <w:t>Engage effectively in collaborative peer review and development</w:t>
      </w:r>
    </w:p>
    <w:p w:rsidR="007A1EBC" w:rsidRPr="007A71D6" w:rsidRDefault="007A1EBC" w:rsidP="00DF2361">
      <w:pPr>
        <w:numPr>
          <w:ilvl w:val="0"/>
          <w:numId w:val="2"/>
        </w:numPr>
        <w:tabs>
          <w:tab w:val="clear" w:pos="720"/>
          <w:tab w:val="left" w:pos="567"/>
        </w:tabs>
        <w:spacing w:after="0" w:line="240" w:lineRule="auto"/>
        <w:ind w:left="567" w:hanging="567"/>
        <w:rPr>
          <w:rFonts w:cstheme="minorHAnsi"/>
          <w:color w:val="000000" w:themeColor="text1"/>
          <w:lang w:val="en-GB"/>
        </w:rPr>
      </w:pPr>
      <w:r w:rsidRPr="007A71D6">
        <w:rPr>
          <w:rFonts w:cstheme="minorHAnsi"/>
          <w:color w:val="000000" w:themeColor="text1"/>
          <w:lang w:val="en-GB"/>
        </w:rPr>
        <w:t>Evaluate your practice reflexively and rigorously and design appropriate plans for your own professional development.</w:t>
      </w:r>
    </w:p>
    <w:p w:rsidR="007A1EBC" w:rsidRPr="007A71D6" w:rsidRDefault="007A1EBC" w:rsidP="00DF2361">
      <w:pPr>
        <w:numPr>
          <w:ilvl w:val="0"/>
          <w:numId w:val="2"/>
        </w:numPr>
        <w:tabs>
          <w:tab w:val="clear" w:pos="720"/>
          <w:tab w:val="left" w:pos="567"/>
        </w:tabs>
        <w:spacing w:after="0" w:line="240" w:lineRule="auto"/>
        <w:ind w:left="567" w:hanging="567"/>
        <w:rPr>
          <w:rFonts w:cstheme="minorHAnsi"/>
          <w:color w:val="000000" w:themeColor="text1"/>
          <w:lang w:val="en-GB"/>
        </w:rPr>
      </w:pPr>
      <w:r w:rsidRPr="007A71D6">
        <w:rPr>
          <w:rFonts w:cstheme="minorHAnsi"/>
          <w:color w:val="000000" w:themeColor="text1"/>
          <w:lang w:val="en-GB"/>
        </w:rPr>
        <w:t>Demonstrate the ability to draw on a range of pedagogic skills and digital skills and approaches appropriate to your discipline/professional area, the characteristics of your students and the relevant institutional context.</w:t>
      </w:r>
    </w:p>
    <w:p w:rsidR="007A1EBC" w:rsidRPr="007A71D6" w:rsidRDefault="007A1EBC">
      <w:pPr>
        <w:pBdr>
          <w:bottom w:val="single" w:sz="6" w:space="1" w:color="auto"/>
        </w:pBdr>
        <w:rPr>
          <w:rFonts w:cstheme="minorHAnsi"/>
          <w:color w:val="000000" w:themeColor="text1"/>
          <w:lang w:val="en-GB"/>
        </w:rPr>
      </w:pPr>
    </w:p>
    <w:p w:rsidR="007A1EBC" w:rsidRPr="007A71D6" w:rsidRDefault="00DF2361">
      <w:pPr>
        <w:rPr>
          <w:rFonts w:cstheme="minorHAnsi"/>
          <w:b/>
          <w:color w:val="000000" w:themeColor="text1"/>
          <w:sz w:val="28"/>
          <w:lang w:val="en-GB"/>
        </w:rPr>
      </w:pPr>
      <w:r w:rsidRPr="007A71D6">
        <w:rPr>
          <w:rFonts w:cstheme="minorHAnsi"/>
          <w:b/>
          <w:color w:val="000000" w:themeColor="text1"/>
          <w:sz w:val="28"/>
          <w:lang w:val="en-GB"/>
        </w:rPr>
        <w:t>Case study 2</w:t>
      </w:r>
    </w:p>
    <w:p w:rsidR="007A1EBC" w:rsidRPr="007A71D6" w:rsidRDefault="007A1EBC">
      <w:pPr>
        <w:rPr>
          <w:rFonts w:cstheme="minorHAnsi"/>
          <w:b/>
          <w:color w:val="000000" w:themeColor="text1"/>
          <w:lang w:val="en-GB"/>
        </w:rPr>
      </w:pPr>
      <w:r w:rsidRPr="007A71D6">
        <w:rPr>
          <w:rFonts w:cstheme="minorHAnsi"/>
          <w:b/>
          <w:color w:val="000000" w:themeColor="text1"/>
          <w:lang w:val="en-GB"/>
        </w:rPr>
        <w:t>Aims</w:t>
      </w:r>
    </w:p>
    <w:p w:rsidR="007A1EBC" w:rsidRPr="007A71D6" w:rsidRDefault="007A1EBC" w:rsidP="00DF2361">
      <w:pPr>
        <w:numPr>
          <w:ilvl w:val="0"/>
          <w:numId w:val="14"/>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 xml:space="preserve">enable participants to evidence successful practice against Descriptor Two of the </w:t>
      </w:r>
      <w:hyperlink r:id="rId7" w:history="1">
        <w:r w:rsidRPr="007A71D6">
          <w:rPr>
            <w:rFonts w:eastAsia="Times New Roman" w:cstheme="minorHAnsi"/>
            <w:color w:val="000000" w:themeColor="text1"/>
            <w:u w:val="single"/>
            <w:lang w:val="en-US" w:eastAsia="da-DK"/>
          </w:rPr>
          <w:t>UK Professional Standards Framework (UKPSF)</w:t>
        </w:r>
      </w:hyperlink>
      <w:r w:rsidRPr="007A71D6">
        <w:rPr>
          <w:rFonts w:eastAsia="Times New Roman" w:cstheme="minorHAnsi"/>
          <w:color w:val="000000" w:themeColor="text1"/>
          <w:lang w:val="en-US" w:eastAsia="da-DK"/>
        </w:rPr>
        <w:t xml:space="preserve"> in order to gain Fellowship of the Higher Education Academy (FHEA);</w:t>
      </w:r>
    </w:p>
    <w:p w:rsidR="007A1EBC" w:rsidRPr="007A71D6" w:rsidRDefault="007A1EBC" w:rsidP="00DF2361">
      <w:pPr>
        <w:numPr>
          <w:ilvl w:val="0"/>
          <w:numId w:val="14"/>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provide a means for probationary academic staff to demonstrate their knowledge, skills and development as competent and effective practitioners during their probationary period;</w:t>
      </w:r>
    </w:p>
    <w:p w:rsidR="007A1EBC" w:rsidRPr="007A71D6" w:rsidRDefault="007A1EBC" w:rsidP="00DF2361">
      <w:pPr>
        <w:numPr>
          <w:ilvl w:val="0"/>
          <w:numId w:val="14"/>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lastRenderedPageBreak/>
        <w:t xml:space="preserve">inspire participants to become reflective practitioners by offering conceptual frameworks for critical reflection and practical mechanisms for building a teaching </w:t>
      </w:r>
      <w:proofErr w:type="spellStart"/>
      <w:r w:rsidRPr="007A71D6">
        <w:rPr>
          <w:rFonts w:eastAsia="Times New Roman" w:cstheme="minorHAnsi"/>
          <w:color w:val="000000" w:themeColor="text1"/>
          <w:lang w:val="en-US" w:eastAsia="da-DK"/>
        </w:rPr>
        <w:t>ePortfolio</w:t>
      </w:r>
      <w:proofErr w:type="spellEnd"/>
      <w:r w:rsidRPr="007A71D6">
        <w:rPr>
          <w:rFonts w:eastAsia="Times New Roman" w:cstheme="minorHAnsi"/>
          <w:color w:val="000000" w:themeColor="text1"/>
          <w:lang w:val="en-US" w:eastAsia="da-DK"/>
        </w:rPr>
        <w:t>, thus securing a commitment to continuing professional development and to remaining in good standing;</w:t>
      </w:r>
    </w:p>
    <w:p w:rsidR="007A1EBC" w:rsidRPr="007A71D6" w:rsidRDefault="007A1EBC" w:rsidP="00DF2361">
      <w:pPr>
        <w:numPr>
          <w:ilvl w:val="0"/>
          <w:numId w:val="14"/>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communicate the importance of evidence-based practice, providing opportunities for participants to engage critically with appropriate pedagogic literature and the Scholarship of Teaching and Learning in order to enhance their teaching practice;</w:t>
      </w:r>
    </w:p>
    <w:p w:rsidR="007A1EBC" w:rsidRPr="007A71D6" w:rsidRDefault="007A1EBC" w:rsidP="00DF2361">
      <w:pPr>
        <w:numPr>
          <w:ilvl w:val="0"/>
          <w:numId w:val="14"/>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create opportunities for participants to benefit from peer support, evaluation and feedback in relation to their teaching practice;</w:t>
      </w:r>
    </w:p>
    <w:p w:rsidR="007A1EBC" w:rsidRPr="007A71D6" w:rsidRDefault="007A1EBC" w:rsidP="00DF2361">
      <w:pPr>
        <w:numPr>
          <w:ilvl w:val="0"/>
          <w:numId w:val="14"/>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stimulate professional dialogue around learning and teaching, and to promote dissemination of good practice within and beyond departmental, disciplinary and institutional contexts;</w:t>
      </w:r>
    </w:p>
    <w:p w:rsidR="007A1EBC" w:rsidRPr="007A71D6" w:rsidRDefault="007A1EBC" w:rsidP="00DF2361">
      <w:pPr>
        <w:numPr>
          <w:ilvl w:val="0"/>
          <w:numId w:val="14"/>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sustain the growth of an institutional culture which values, supports and rewards teaching excellence, and which unites teaching and research in effective, creative and innovative ways.</w:t>
      </w:r>
    </w:p>
    <w:p w:rsidR="007A1EBC" w:rsidRPr="007A71D6" w:rsidRDefault="00DF2361">
      <w:pPr>
        <w:rPr>
          <w:rFonts w:cstheme="minorHAnsi"/>
          <w:b/>
          <w:color w:val="000000" w:themeColor="text1"/>
          <w:lang w:val="en-GB"/>
        </w:rPr>
      </w:pPr>
      <w:r w:rsidRPr="007A71D6">
        <w:rPr>
          <w:rFonts w:cstheme="minorHAnsi"/>
          <w:b/>
          <w:color w:val="000000" w:themeColor="text1"/>
          <w:lang w:val="en-GB"/>
        </w:rPr>
        <w:t>Learning outcomes</w:t>
      </w:r>
    </w:p>
    <w:p w:rsidR="007A1EBC" w:rsidRPr="007A71D6" w:rsidRDefault="007A1EBC" w:rsidP="007A1EBC">
      <w:pPr>
        <w:spacing w:before="100" w:beforeAutospacing="1" w:after="100" w:afterAutospacing="1" w:line="240" w:lineRule="auto"/>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 xml:space="preserve">The intended learning outcomes of the APP TE programme are closely mapped to the UK Professional Standards Framework (UKPSF). The UKPSF is a nationally </w:t>
      </w:r>
      <w:proofErr w:type="spellStart"/>
      <w:r w:rsidRPr="007A71D6">
        <w:rPr>
          <w:rFonts w:eastAsia="Times New Roman" w:cstheme="minorHAnsi"/>
          <w:color w:val="000000" w:themeColor="text1"/>
          <w:lang w:val="en-US" w:eastAsia="da-DK"/>
        </w:rPr>
        <w:t>recognised</w:t>
      </w:r>
      <w:proofErr w:type="spellEnd"/>
      <w:r w:rsidRPr="007A71D6">
        <w:rPr>
          <w:rFonts w:eastAsia="Times New Roman" w:cstheme="minorHAnsi"/>
          <w:color w:val="000000" w:themeColor="text1"/>
          <w:lang w:val="en-US" w:eastAsia="da-DK"/>
        </w:rPr>
        <w:t xml:space="preserve"> framework for benchmarking success within HE </w:t>
      </w:r>
      <w:proofErr w:type="gramStart"/>
      <w:r w:rsidRPr="007A71D6">
        <w:rPr>
          <w:rFonts w:eastAsia="Times New Roman" w:cstheme="minorHAnsi"/>
          <w:color w:val="000000" w:themeColor="text1"/>
          <w:lang w:val="en-US" w:eastAsia="da-DK"/>
        </w:rPr>
        <w:t>teaching</w:t>
      </w:r>
      <w:proofErr w:type="gramEnd"/>
      <w:r w:rsidRPr="007A71D6">
        <w:rPr>
          <w:rFonts w:eastAsia="Times New Roman" w:cstheme="minorHAnsi"/>
          <w:color w:val="000000" w:themeColor="text1"/>
          <w:lang w:val="en-US" w:eastAsia="da-DK"/>
        </w:rPr>
        <w:t xml:space="preserve"> and learning support. Developed by the Higher Education Academy (HEA) on behalf of the UK higher education sector, Guild HE and Universities UK the framework is comprised of a set of descriptors which outline four categories of teaching and learning support in relation to the Dimensions of Professional Practice which fall into three categories:</w:t>
      </w:r>
    </w:p>
    <w:p w:rsidR="007A1EBC" w:rsidRPr="007A71D6" w:rsidRDefault="007A1EBC" w:rsidP="007A1EBC">
      <w:pPr>
        <w:numPr>
          <w:ilvl w:val="0"/>
          <w:numId w:val="4"/>
        </w:numPr>
        <w:spacing w:before="100" w:beforeAutospacing="1" w:after="100" w:afterAutospacing="1" w:line="240" w:lineRule="auto"/>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areas of activity undertaken by teachers and support staff;</w:t>
      </w:r>
    </w:p>
    <w:p w:rsidR="007A1EBC" w:rsidRPr="007A71D6" w:rsidRDefault="007A1EBC" w:rsidP="007A1EBC">
      <w:pPr>
        <w:numPr>
          <w:ilvl w:val="0"/>
          <w:numId w:val="4"/>
        </w:numPr>
        <w:spacing w:before="100" w:beforeAutospacing="1" w:after="100" w:afterAutospacing="1" w:line="240" w:lineRule="auto"/>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core knowledge needed to carry out those activities at the appropriate level;</w:t>
      </w:r>
    </w:p>
    <w:p w:rsidR="007A1EBC" w:rsidRPr="007A71D6" w:rsidRDefault="007A1EBC" w:rsidP="007A1EBC">
      <w:pPr>
        <w:numPr>
          <w:ilvl w:val="0"/>
          <w:numId w:val="4"/>
        </w:numPr>
        <w:spacing w:before="100" w:beforeAutospacing="1" w:after="100" w:afterAutospacing="1" w:line="240" w:lineRule="auto"/>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professional values that individuals performing these activities should exemplify.</w:t>
      </w:r>
    </w:p>
    <w:p w:rsidR="007A1EBC" w:rsidRPr="007A71D6" w:rsidRDefault="007A1EBC" w:rsidP="007A1EBC">
      <w:pPr>
        <w:spacing w:before="100" w:beforeAutospacing="1" w:after="100" w:afterAutospacing="1" w:line="240" w:lineRule="auto"/>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APP TE is mapped against Descriptor Two (Fellowship). On successful completion of the programme participants will be able to:</w:t>
      </w:r>
    </w:p>
    <w:p w:rsidR="007A1EBC" w:rsidRPr="007A71D6" w:rsidRDefault="007A1EBC" w:rsidP="007A1EBC">
      <w:pPr>
        <w:spacing w:before="100" w:beforeAutospacing="1" w:after="100" w:afterAutospacing="1" w:line="240" w:lineRule="auto"/>
        <w:rPr>
          <w:rFonts w:eastAsia="Times New Roman" w:cstheme="minorHAnsi"/>
          <w:color w:val="000000" w:themeColor="text1"/>
          <w:lang w:eastAsia="da-DK"/>
        </w:rPr>
      </w:pPr>
      <w:r w:rsidRPr="007A71D6">
        <w:rPr>
          <w:rFonts w:eastAsia="Times New Roman" w:cstheme="minorHAnsi"/>
          <w:b/>
          <w:bCs/>
          <w:color w:val="000000" w:themeColor="text1"/>
          <w:lang w:eastAsia="da-DK"/>
        </w:rPr>
        <w:t>Areas of Activity</w:t>
      </w:r>
    </w:p>
    <w:p w:rsidR="002C7C94" w:rsidRPr="007A71D6" w:rsidRDefault="007A1EBC" w:rsidP="007A71D6">
      <w:pPr>
        <w:numPr>
          <w:ilvl w:val="0"/>
          <w:numId w:val="5"/>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design and plan effective learning activities and/or programmes of study appropriate to students’ level and discipline [A1];</w:t>
      </w:r>
    </w:p>
    <w:p w:rsidR="007A1EBC" w:rsidRPr="007A71D6" w:rsidRDefault="007A1EBC" w:rsidP="00DF2361">
      <w:pPr>
        <w:numPr>
          <w:ilvl w:val="0"/>
          <w:numId w:val="5"/>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teach and support student learning at all levels in higher education, which may include doctoral supervision, with an appropriate level of critical reflection and analysis [A2];</w:t>
      </w:r>
    </w:p>
    <w:p w:rsidR="007A1EBC" w:rsidRPr="007A71D6" w:rsidRDefault="007A1EBC" w:rsidP="00DF2361">
      <w:pPr>
        <w:numPr>
          <w:ilvl w:val="0"/>
          <w:numId w:val="5"/>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select and implement a range of assessment techniques (formative and summative) which are designed to enhance student learning and/or to offer valid and reliable appraisal of student achievement [A3];</w:t>
      </w:r>
    </w:p>
    <w:p w:rsidR="007A1EBC" w:rsidRPr="007A71D6" w:rsidRDefault="007A1EBC" w:rsidP="00DF2361">
      <w:pPr>
        <w:numPr>
          <w:ilvl w:val="0"/>
          <w:numId w:val="5"/>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 xml:space="preserve">create effective feedback and </w:t>
      </w:r>
      <w:proofErr w:type="spellStart"/>
      <w:r w:rsidRPr="007A71D6">
        <w:rPr>
          <w:rFonts w:eastAsia="Times New Roman" w:cstheme="minorHAnsi"/>
          <w:color w:val="000000" w:themeColor="text1"/>
          <w:lang w:val="en-US" w:eastAsia="da-DK"/>
        </w:rPr>
        <w:t>maximise</w:t>
      </w:r>
      <w:proofErr w:type="spellEnd"/>
      <w:r w:rsidRPr="007A71D6">
        <w:rPr>
          <w:rFonts w:eastAsia="Times New Roman" w:cstheme="minorHAnsi"/>
          <w:color w:val="000000" w:themeColor="text1"/>
          <w:lang w:val="en-US" w:eastAsia="da-DK"/>
        </w:rPr>
        <w:t xml:space="preserve"> opportunities for feedback in order impact positively upon student learning [A3];</w:t>
      </w:r>
    </w:p>
    <w:p w:rsidR="007A1EBC" w:rsidRPr="007A71D6" w:rsidRDefault="007A1EBC" w:rsidP="00DF2361">
      <w:pPr>
        <w:numPr>
          <w:ilvl w:val="0"/>
          <w:numId w:val="5"/>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design effective learning environments (physical and virtual) within and beyond the classroom [A4];</w:t>
      </w:r>
    </w:p>
    <w:p w:rsidR="007A1EBC" w:rsidRPr="007A71D6" w:rsidRDefault="007A1EBC" w:rsidP="00DF2361">
      <w:pPr>
        <w:numPr>
          <w:ilvl w:val="0"/>
          <w:numId w:val="5"/>
        </w:numPr>
        <w:tabs>
          <w:tab w:val="clear" w:pos="720"/>
        </w:tabs>
        <w:spacing w:before="100" w:beforeAutospacing="1" w:after="100" w:afterAutospacing="1" w:line="240" w:lineRule="auto"/>
        <w:ind w:left="567" w:hanging="567"/>
        <w:rPr>
          <w:rFonts w:eastAsia="Times New Roman" w:cstheme="minorHAnsi"/>
          <w:color w:val="000000" w:themeColor="text1"/>
          <w:lang w:eastAsia="da-DK"/>
        </w:rPr>
      </w:pPr>
      <w:r w:rsidRPr="007A71D6">
        <w:rPr>
          <w:rFonts w:eastAsia="Times New Roman" w:cstheme="minorHAnsi"/>
          <w:color w:val="000000" w:themeColor="text1"/>
          <w:lang w:val="en-US" w:eastAsia="da-DK"/>
        </w:rPr>
        <w:t xml:space="preserve">identify good practice in student support and guidance within the role of the personal tutor. </w:t>
      </w:r>
      <w:r w:rsidRPr="007A71D6">
        <w:rPr>
          <w:rFonts w:eastAsia="Times New Roman" w:cstheme="minorHAnsi"/>
          <w:color w:val="000000" w:themeColor="text1"/>
          <w:lang w:eastAsia="da-DK"/>
        </w:rPr>
        <w:t>[A4];</w:t>
      </w:r>
    </w:p>
    <w:p w:rsidR="007A1EBC" w:rsidRPr="007A71D6" w:rsidRDefault="007A1EBC" w:rsidP="00DF2361">
      <w:pPr>
        <w:numPr>
          <w:ilvl w:val="0"/>
          <w:numId w:val="5"/>
        </w:numPr>
        <w:tabs>
          <w:tab w:val="clear" w:pos="720"/>
        </w:tabs>
        <w:spacing w:before="100" w:beforeAutospacing="1" w:after="100" w:afterAutospacing="1" w:line="240" w:lineRule="auto"/>
        <w:ind w:left="567" w:hanging="567"/>
        <w:rPr>
          <w:rFonts w:eastAsia="Times New Roman" w:cstheme="minorHAnsi"/>
          <w:color w:val="000000" w:themeColor="text1"/>
          <w:lang w:eastAsia="da-DK"/>
        </w:rPr>
      </w:pPr>
      <w:r w:rsidRPr="007A71D6">
        <w:rPr>
          <w:rFonts w:eastAsia="Times New Roman" w:cstheme="minorHAnsi"/>
          <w:color w:val="000000" w:themeColor="text1"/>
          <w:lang w:val="en-US" w:eastAsia="da-DK"/>
        </w:rPr>
        <w:t xml:space="preserve">engage in continuing professional development in subjects/disciplines and their pedagogy, incorporating research, scholarship and the evaluation of professional practices. </w:t>
      </w:r>
      <w:r w:rsidRPr="007A71D6">
        <w:rPr>
          <w:rFonts w:eastAsia="Times New Roman" w:cstheme="minorHAnsi"/>
          <w:color w:val="000000" w:themeColor="text1"/>
          <w:lang w:eastAsia="da-DK"/>
        </w:rPr>
        <w:t>[A5]</w:t>
      </w:r>
    </w:p>
    <w:p w:rsidR="007A1EBC" w:rsidRPr="007A71D6" w:rsidRDefault="007A1EBC" w:rsidP="00DF2361">
      <w:pPr>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b/>
          <w:bCs/>
          <w:color w:val="000000" w:themeColor="text1"/>
          <w:lang w:val="en-US" w:eastAsia="da-DK"/>
        </w:rPr>
        <w:t>Appropriate knowledge and understanding across all aspects core knowledge*</w:t>
      </w:r>
    </w:p>
    <w:p w:rsidR="007A1EBC" w:rsidRPr="007A71D6" w:rsidRDefault="007A1EBC" w:rsidP="00DF2361">
      <w:pPr>
        <w:numPr>
          <w:ilvl w:val="0"/>
          <w:numId w:val="6"/>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demonstrate and document appropriate methods for teaching, learning and assessing in their own discipline relevant to the level of study within the context of a research-intensive university [K2];</w:t>
      </w:r>
    </w:p>
    <w:p w:rsidR="007A1EBC" w:rsidRPr="007A71D6" w:rsidRDefault="007A1EBC" w:rsidP="00DF2361">
      <w:pPr>
        <w:numPr>
          <w:ilvl w:val="0"/>
          <w:numId w:val="6"/>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lastRenderedPageBreak/>
        <w:t>demonstrate critical understanding of key concepts and theories relating to how students learn both generally and within their own discipline and to apply those theories in order to create engaged student learning [K3];</w:t>
      </w:r>
    </w:p>
    <w:p w:rsidR="007A1EBC" w:rsidRPr="007A71D6" w:rsidRDefault="007A1EBC" w:rsidP="00DF2361">
      <w:pPr>
        <w:numPr>
          <w:ilvl w:val="0"/>
          <w:numId w:val="6"/>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recognise the use and value of technology to support teaching and learning and be able to select and employ technology appropriately and effectively to achieve specific pedagogical aims [K4];</w:t>
      </w:r>
    </w:p>
    <w:p w:rsidR="007A1EBC" w:rsidRPr="007A71D6" w:rsidRDefault="007A1EBC" w:rsidP="00DF2361">
      <w:pPr>
        <w:numPr>
          <w:ilvl w:val="0"/>
          <w:numId w:val="6"/>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review and evaluate the effectiveness of their practice using a range of self, peer and student monitoring and evaluation techniques [K5];</w:t>
      </w:r>
    </w:p>
    <w:p w:rsidR="007A1EBC" w:rsidRPr="007A71D6" w:rsidRDefault="007A1EBC" w:rsidP="00DF2361">
      <w:pPr>
        <w:numPr>
          <w:ilvl w:val="0"/>
          <w:numId w:val="6"/>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articulate the impact of quality assurance and quality enhancement within higher education practice [K6].</w:t>
      </w:r>
    </w:p>
    <w:p w:rsidR="007A1EBC" w:rsidRPr="007A71D6" w:rsidRDefault="007A1EBC" w:rsidP="00DF2361">
      <w:pPr>
        <w:spacing w:before="100" w:beforeAutospacing="1" w:after="100" w:afterAutospacing="1" w:line="240" w:lineRule="auto"/>
        <w:ind w:left="567" w:hanging="567"/>
        <w:rPr>
          <w:rFonts w:eastAsia="Times New Roman" w:cstheme="minorHAnsi"/>
          <w:color w:val="000000" w:themeColor="text1"/>
          <w:lang w:eastAsia="da-DK"/>
        </w:rPr>
      </w:pPr>
      <w:r w:rsidRPr="007A71D6">
        <w:rPr>
          <w:rFonts w:eastAsia="Times New Roman" w:cstheme="minorHAnsi"/>
          <w:b/>
          <w:bCs/>
          <w:color w:val="000000" w:themeColor="text1"/>
          <w:lang w:eastAsia="da-DK"/>
        </w:rPr>
        <w:t>Commitment to professional values</w:t>
      </w:r>
    </w:p>
    <w:p w:rsidR="007A1EBC" w:rsidRPr="007A71D6" w:rsidRDefault="007A1EBC" w:rsidP="00DF2361">
      <w:pPr>
        <w:numPr>
          <w:ilvl w:val="0"/>
          <w:numId w:val="7"/>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show respect for individual learners and diverse learning communities [V1];</w:t>
      </w:r>
    </w:p>
    <w:p w:rsidR="007A1EBC" w:rsidRPr="007A71D6" w:rsidRDefault="007A1EBC" w:rsidP="00DF2361">
      <w:pPr>
        <w:numPr>
          <w:ilvl w:val="0"/>
          <w:numId w:val="7"/>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evidence inclusive practice which promotes equality of opportunity for learners [V2];</w:t>
      </w:r>
    </w:p>
    <w:p w:rsidR="007A1EBC" w:rsidRPr="007A71D6" w:rsidRDefault="007A1EBC" w:rsidP="00DF2361">
      <w:pPr>
        <w:numPr>
          <w:ilvl w:val="0"/>
          <w:numId w:val="7"/>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demonstrate a commitment to evidence-informed practice, incorporating outputs from research, scholarship and your own continuing professional development in order to enhance your own practice and student learning [V3];</w:t>
      </w:r>
    </w:p>
    <w:p w:rsidR="007A1EBC" w:rsidRPr="007A71D6" w:rsidRDefault="007A1EBC" w:rsidP="00DF2361">
      <w:pPr>
        <w:numPr>
          <w:ilvl w:val="0"/>
          <w:numId w:val="7"/>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demonstrate an awareness of how institutional, national and other contexts impact upon your academic practice [V4].</w:t>
      </w:r>
    </w:p>
    <w:p w:rsidR="007A1EBC" w:rsidRDefault="007A1EBC" w:rsidP="007A1EBC">
      <w:pPr>
        <w:spacing w:before="100" w:beforeAutospacing="1" w:after="100" w:afterAutospacing="1" w:line="240" w:lineRule="auto"/>
        <w:rPr>
          <w:rFonts w:eastAsia="Times New Roman" w:cstheme="minorHAnsi"/>
          <w:i/>
          <w:iCs/>
          <w:color w:val="000000" w:themeColor="text1"/>
          <w:lang w:val="en-US" w:eastAsia="da-DK"/>
        </w:rPr>
      </w:pPr>
      <w:r w:rsidRPr="007A71D6">
        <w:rPr>
          <w:rFonts w:eastAsia="Times New Roman" w:cstheme="minorHAnsi"/>
          <w:i/>
          <w:iCs/>
          <w:color w:val="000000" w:themeColor="text1"/>
          <w:lang w:val="en-US" w:eastAsia="da-DK"/>
        </w:rPr>
        <w:t xml:space="preserve">* it is assumed that strong knowledge of the subject material was a condition of employment, and therefore Core Knowledge </w:t>
      </w:r>
    </w:p>
    <w:p w:rsidR="00A319F3" w:rsidRDefault="00A319F3" w:rsidP="007A1EBC">
      <w:pPr>
        <w:pBdr>
          <w:bottom w:val="single" w:sz="6" w:space="1" w:color="auto"/>
        </w:pBdr>
        <w:spacing w:before="100" w:beforeAutospacing="1" w:after="100" w:afterAutospacing="1" w:line="240" w:lineRule="auto"/>
        <w:rPr>
          <w:rFonts w:eastAsia="Times New Roman" w:cstheme="minorHAnsi"/>
          <w:iCs/>
          <w:color w:val="000000" w:themeColor="text1"/>
          <w:lang w:val="en-US" w:eastAsia="da-DK"/>
        </w:rPr>
      </w:pPr>
    </w:p>
    <w:p w:rsidR="007A1EBC" w:rsidRPr="007A71D6" w:rsidRDefault="00057A98">
      <w:pPr>
        <w:rPr>
          <w:rFonts w:cstheme="minorHAnsi"/>
          <w:b/>
          <w:color w:val="000000" w:themeColor="text1"/>
          <w:sz w:val="28"/>
          <w:lang w:val="en-US"/>
        </w:rPr>
      </w:pPr>
      <w:r w:rsidRPr="007A71D6">
        <w:rPr>
          <w:rFonts w:cstheme="minorHAnsi"/>
          <w:b/>
          <w:color w:val="000000" w:themeColor="text1"/>
          <w:sz w:val="28"/>
          <w:lang w:val="en-US"/>
        </w:rPr>
        <w:t>Case Study 3</w:t>
      </w:r>
    </w:p>
    <w:p w:rsidR="007E0DEE" w:rsidRPr="007A71D6" w:rsidRDefault="007E0DEE" w:rsidP="00057A98">
      <w:pPr>
        <w:spacing w:before="100" w:beforeAutospacing="1" w:after="100" w:afterAutospacing="1" w:line="240" w:lineRule="auto"/>
        <w:outlineLvl w:val="0"/>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Introduction to Learning, Teaching and Assessment (ILTA)</w:t>
      </w:r>
      <w:r w:rsidR="00057A98" w:rsidRPr="007A71D6">
        <w:rPr>
          <w:rFonts w:eastAsia="Times New Roman" w:cstheme="minorHAnsi"/>
          <w:color w:val="000000" w:themeColor="text1"/>
          <w:lang w:val="en-US" w:eastAsia="da-DK"/>
        </w:rPr>
        <w:t xml:space="preserve"> </w:t>
      </w:r>
      <w:r w:rsidRPr="007A71D6">
        <w:rPr>
          <w:rFonts w:cstheme="minorHAnsi"/>
          <w:color w:val="000000" w:themeColor="text1"/>
          <w:lang w:val="en-US"/>
        </w:rPr>
        <w:t>15 ECTS</w:t>
      </w:r>
    </w:p>
    <w:p w:rsidR="002264E5" w:rsidRPr="007A71D6" w:rsidRDefault="002264E5" w:rsidP="00057A98">
      <w:pPr>
        <w:numPr>
          <w:ilvl w:val="0"/>
          <w:numId w:val="8"/>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Evaluate a range of practical approaches to teaching, learning and assessment, set within the context of learning theories.</w:t>
      </w:r>
    </w:p>
    <w:p w:rsidR="002264E5" w:rsidRPr="007A71D6" w:rsidRDefault="002264E5" w:rsidP="00057A98">
      <w:pPr>
        <w:numPr>
          <w:ilvl w:val="0"/>
          <w:numId w:val="8"/>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Apply appropriate theories to the design and teaching of an episode of inclusive learning</w:t>
      </w:r>
    </w:p>
    <w:p w:rsidR="002264E5" w:rsidRPr="007A71D6" w:rsidRDefault="002264E5" w:rsidP="00057A98">
      <w:pPr>
        <w:numPr>
          <w:ilvl w:val="0"/>
          <w:numId w:val="8"/>
        </w:numPr>
        <w:tabs>
          <w:tab w:val="clear" w:pos="720"/>
        </w:tabs>
        <w:spacing w:before="100" w:beforeAutospacing="1" w:after="100" w:afterAutospacing="1" w:line="240" w:lineRule="auto"/>
        <w:ind w:left="567" w:hanging="567"/>
        <w:rPr>
          <w:rFonts w:eastAsia="Times New Roman" w:cstheme="minorHAnsi"/>
          <w:color w:val="000000" w:themeColor="text1"/>
          <w:lang w:val="en-US" w:eastAsia="da-DK"/>
        </w:rPr>
      </w:pPr>
      <w:r w:rsidRPr="007A71D6">
        <w:rPr>
          <w:rFonts w:eastAsia="Times New Roman" w:cstheme="minorHAnsi"/>
          <w:color w:val="000000" w:themeColor="text1"/>
          <w:lang w:val="en-US" w:eastAsia="da-DK"/>
        </w:rPr>
        <w:t xml:space="preserve">Evaluate and critically reflect on personal teaching and the themes of the unit to identify and </w:t>
      </w:r>
      <w:proofErr w:type="spellStart"/>
      <w:r w:rsidRPr="007A71D6">
        <w:rPr>
          <w:rFonts w:eastAsia="Times New Roman" w:cstheme="minorHAnsi"/>
          <w:color w:val="000000" w:themeColor="text1"/>
          <w:lang w:val="en-US" w:eastAsia="da-DK"/>
        </w:rPr>
        <w:t>prioritise</w:t>
      </w:r>
      <w:proofErr w:type="spellEnd"/>
      <w:r w:rsidRPr="007A71D6">
        <w:rPr>
          <w:rFonts w:eastAsia="Times New Roman" w:cstheme="minorHAnsi"/>
          <w:color w:val="000000" w:themeColor="text1"/>
          <w:lang w:val="en-US" w:eastAsia="da-DK"/>
        </w:rPr>
        <w:t xml:space="preserve"> ongoing Continuing Professional Development.</w:t>
      </w:r>
    </w:p>
    <w:p w:rsidR="00A319F3" w:rsidRDefault="00A319F3">
      <w:pPr>
        <w:pBdr>
          <w:bottom w:val="single" w:sz="6" w:space="1" w:color="auto"/>
        </w:pBdr>
        <w:rPr>
          <w:rFonts w:cstheme="minorHAnsi"/>
          <w:b/>
          <w:color w:val="000000" w:themeColor="text1"/>
          <w:sz w:val="28"/>
          <w:lang w:val="en-US"/>
        </w:rPr>
      </w:pPr>
    </w:p>
    <w:p w:rsidR="002264E5" w:rsidRPr="007A71D6" w:rsidRDefault="00057A98">
      <w:pPr>
        <w:rPr>
          <w:rFonts w:cstheme="minorHAnsi"/>
          <w:b/>
          <w:color w:val="000000" w:themeColor="text1"/>
          <w:sz w:val="28"/>
          <w:lang w:val="en-US"/>
        </w:rPr>
      </w:pPr>
      <w:r w:rsidRPr="007A71D6">
        <w:rPr>
          <w:rFonts w:cstheme="minorHAnsi"/>
          <w:b/>
          <w:color w:val="000000" w:themeColor="text1"/>
          <w:sz w:val="28"/>
          <w:lang w:val="en-US"/>
        </w:rPr>
        <w:t>Case Study 4</w:t>
      </w:r>
    </w:p>
    <w:p w:rsidR="007E0DEE" w:rsidRPr="007A71D6" w:rsidRDefault="007E0DEE" w:rsidP="002C7C94">
      <w:pPr>
        <w:numPr>
          <w:ilvl w:val="0"/>
          <w:numId w:val="17"/>
        </w:numPr>
        <w:spacing w:before="120" w:after="200" w:line="276" w:lineRule="auto"/>
        <w:ind w:left="567" w:hanging="567"/>
        <w:contextualSpacing/>
        <w:rPr>
          <w:rFonts w:cstheme="minorHAnsi"/>
          <w:color w:val="000000" w:themeColor="text1"/>
          <w:lang w:val="en-GB" w:eastAsia="en-GB"/>
        </w:rPr>
      </w:pPr>
      <w:r w:rsidRPr="007A71D6">
        <w:rPr>
          <w:rFonts w:cstheme="minorHAnsi"/>
          <w:color w:val="000000" w:themeColor="text1"/>
          <w:lang w:val="en-GB" w:eastAsia="en-GB"/>
        </w:rPr>
        <w:t xml:space="preserve">Engage students through teaching across a range of HE </w:t>
      </w:r>
      <w:proofErr w:type="gramStart"/>
      <w:r w:rsidRPr="007A71D6">
        <w:rPr>
          <w:rFonts w:cstheme="minorHAnsi"/>
          <w:color w:val="000000" w:themeColor="text1"/>
          <w:lang w:val="en-GB" w:eastAsia="en-GB"/>
        </w:rPr>
        <w:t>learning</w:t>
      </w:r>
      <w:proofErr w:type="gramEnd"/>
      <w:r w:rsidRPr="007A71D6">
        <w:rPr>
          <w:rFonts w:cstheme="minorHAnsi"/>
          <w:color w:val="000000" w:themeColor="text1"/>
          <w:lang w:val="en-GB" w:eastAsia="en-GB"/>
        </w:rPr>
        <w:t xml:space="preserve"> environments, supporting learning through effective teaching, assessment and feedback, employing context appropriate pedagogies, and use of digital learning technology.</w:t>
      </w:r>
    </w:p>
    <w:p w:rsidR="007E0DEE" w:rsidRPr="007A71D6" w:rsidRDefault="007E0DEE" w:rsidP="002C7C94">
      <w:pPr>
        <w:numPr>
          <w:ilvl w:val="0"/>
          <w:numId w:val="17"/>
        </w:numPr>
        <w:spacing w:before="120" w:after="200" w:line="276" w:lineRule="auto"/>
        <w:ind w:left="567" w:hanging="567"/>
        <w:contextualSpacing/>
        <w:rPr>
          <w:rFonts w:cstheme="minorHAnsi"/>
          <w:color w:val="000000" w:themeColor="text1"/>
          <w:lang w:val="en-GB" w:eastAsia="en-GB"/>
        </w:rPr>
      </w:pPr>
      <w:r w:rsidRPr="007A71D6">
        <w:rPr>
          <w:rFonts w:cstheme="minorHAnsi"/>
          <w:color w:val="000000" w:themeColor="text1"/>
          <w:lang w:val="en-GB" w:eastAsia="en-GB"/>
        </w:rPr>
        <w:t>Promote inclusive, intercultural and accessible engagement with peers and students, facilitating a diverse academic community and enabling a global learning experience that realises the transformational nature of teaching and learning.</w:t>
      </w:r>
    </w:p>
    <w:p w:rsidR="007E0DEE" w:rsidRPr="007A71D6" w:rsidRDefault="007E0DEE" w:rsidP="002C7C94">
      <w:pPr>
        <w:numPr>
          <w:ilvl w:val="0"/>
          <w:numId w:val="17"/>
        </w:numPr>
        <w:spacing w:before="120" w:after="200" w:line="276" w:lineRule="auto"/>
        <w:ind w:left="567" w:hanging="567"/>
        <w:contextualSpacing/>
        <w:rPr>
          <w:rFonts w:cstheme="minorHAnsi"/>
          <w:color w:val="000000" w:themeColor="text1"/>
          <w:lang w:val="en-GB" w:eastAsia="en-GB"/>
        </w:rPr>
      </w:pPr>
      <w:r w:rsidRPr="007A71D6">
        <w:rPr>
          <w:rFonts w:cstheme="minorHAnsi"/>
          <w:color w:val="000000" w:themeColor="text1"/>
          <w:lang w:val="en-GB" w:eastAsia="en-GB"/>
        </w:rPr>
        <w:lastRenderedPageBreak/>
        <w:t xml:space="preserve">Design and develop innovative and effective curricula that incorporate the development, implementation and evaluation of teaching resources, the digital environment, learning and assessment designs, and engagement with relevant stakeholders and services. </w:t>
      </w:r>
    </w:p>
    <w:p w:rsidR="007E0DEE" w:rsidRPr="007A71D6" w:rsidRDefault="007E0DEE" w:rsidP="002C7C94">
      <w:pPr>
        <w:numPr>
          <w:ilvl w:val="0"/>
          <w:numId w:val="17"/>
        </w:numPr>
        <w:spacing w:before="120" w:after="200" w:line="276" w:lineRule="auto"/>
        <w:ind w:left="567" w:hanging="567"/>
        <w:contextualSpacing/>
        <w:rPr>
          <w:rFonts w:cstheme="minorHAnsi"/>
          <w:color w:val="000000" w:themeColor="text1"/>
          <w:lang w:val="en-GB" w:eastAsia="en-GB"/>
        </w:rPr>
      </w:pPr>
      <w:r w:rsidRPr="007A71D6">
        <w:rPr>
          <w:rFonts w:cstheme="minorHAnsi"/>
          <w:color w:val="000000" w:themeColor="text1"/>
          <w:lang w:val="en-GB" w:eastAsia="en-GB"/>
        </w:rPr>
        <w:t>Develop research-stimulated teaching and learning, contributing to the knowledge of discipline pedagogy and your own practice through scholarly activity that positively benefits the student experience.</w:t>
      </w:r>
    </w:p>
    <w:p w:rsidR="002C7C94" w:rsidRPr="007A71D6" w:rsidRDefault="007E0DEE" w:rsidP="002C7C94">
      <w:pPr>
        <w:numPr>
          <w:ilvl w:val="0"/>
          <w:numId w:val="17"/>
        </w:numPr>
        <w:spacing w:before="120" w:after="200" w:line="276" w:lineRule="auto"/>
        <w:ind w:left="567" w:hanging="567"/>
        <w:contextualSpacing/>
        <w:rPr>
          <w:rFonts w:cstheme="minorHAnsi"/>
          <w:color w:val="000000" w:themeColor="text1"/>
          <w:lang w:val="en-GB"/>
        </w:rPr>
      </w:pPr>
      <w:r w:rsidRPr="007A71D6">
        <w:rPr>
          <w:rFonts w:cstheme="minorHAnsi"/>
          <w:color w:val="000000" w:themeColor="text1"/>
          <w:lang w:val="en-GB" w:eastAsia="en-GB"/>
        </w:rPr>
        <w:t xml:space="preserve">Demonstrate a commitment to ongoing engagement in professional learning and development, participating in development networks and activities, contributing to a community culture of teaching advancement, and obtaining (or furthering) professional recognition and teaching </w:t>
      </w:r>
    </w:p>
    <w:p w:rsidR="007E0DEE" w:rsidRPr="007A71D6" w:rsidRDefault="007E0DEE" w:rsidP="0030308C">
      <w:pPr>
        <w:spacing w:before="120" w:after="200" w:line="276" w:lineRule="auto"/>
        <w:ind w:left="567"/>
        <w:contextualSpacing/>
        <w:rPr>
          <w:rFonts w:cstheme="minorHAnsi"/>
          <w:color w:val="000000" w:themeColor="text1"/>
          <w:lang w:val="en-GB"/>
        </w:rPr>
      </w:pPr>
      <w:r w:rsidRPr="007A71D6">
        <w:rPr>
          <w:rFonts w:cstheme="minorHAnsi"/>
          <w:color w:val="000000" w:themeColor="text1"/>
          <w:lang w:val="en-GB" w:eastAsia="en-GB"/>
        </w:rPr>
        <w:t xml:space="preserve">qualifications. </w:t>
      </w:r>
    </w:p>
    <w:p w:rsidR="007E0DEE" w:rsidRPr="007A71D6" w:rsidRDefault="007E0DEE">
      <w:pPr>
        <w:rPr>
          <w:rFonts w:cstheme="minorHAnsi"/>
          <w:color w:val="000000" w:themeColor="text1"/>
          <w:lang w:val="en-GB"/>
        </w:rPr>
      </w:pPr>
    </w:p>
    <w:p w:rsidR="00263848" w:rsidRPr="007A71D6" w:rsidRDefault="00057A98" w:rsidP="00263848">
      <w:pPr>
        <w:rPr>
          <w:rFonts w:cstheme="minorHAnsi"/>
          <w:b/>
          <w:bCs/>
          <w:color w:val="000000" w:themeColor="text1"/>
          <w:sz w:val="28"/>
          <w:lang w:val="en-GB"/>
        </w:rPr>
      </w:pPr>
      <w:r w:rsidRPr="007A71D6">
        <w:rPr>
          <w:rFonts w:cstheme="minorHAnsi"/>
          <w:b/>
          <w:bCs/>
          <w:color w:val="000000" w:themeColor="text1"/>
          <w:sz w:val="28"/>
          <w:lang w:val="en-GB"/>
        </w:rPr>
        <w:t>C</w:t>
      </w:r>
      <w:r w:rsidR="002C7C94" w:rsidRPr="007A71D6">
        <w:rPr>
          <w:rFonts w:cstheme="minorHAnsi"/>
          <w:b/>
          <w:bCs/>
          <w:color w:val="000000" w:themeColor="text1"/>
          <w:sz w:val="28"/>
          <w:lang w:val="en-GB"/>
        </w:rPr>
        <w:t>ase Study 5</w:t>
      </w:r>
    </w:p>
    <w:p w:rsidR="00263848" w:rsidRPr="007A71D6" w:rsidRDefault="00263848" w:rsidP="00263848">
      <w:pPr>
        <w:rPr>
          <w:rFonts w:cstheme="minorHAnsi"/>
          <w:b/>
          <w:bCs/>
          <w:color w:val="000000" w:themeColor="text1"/>
          <w:lang w:val="en-GB"/>
        </w:rPr>
      </w:pPr>
      <w:r w:rsidRPr="007A71D6">
        <w:rPr>
          <w:rFonts w:cstheme="minorHAnsi"/>
          <w:b/>
          <w:bCs/>
          <w:color w:val="000000" w:themeColor="text1"/>
          <w:lang w:val="en-GB"/>
        </w:rPr>
        <w:t>Unit 1: Learning about Creative Education</w:t>
      </w:r>
    </w:p>
    <w:p w:rsidR="00263848" w:rsidRPr="007A71D6" w:rsidRDefault="00263848" w:rsidP="00057A98">
      <w:pPr>
        <w:spacing w:after="0" w:line="240" w:lineRule="auto"/>
        <w:ind w:left="567" w:hanging="567"/>
        <w:rPr>
          <w:rFonts w:cstheme="minorHAnsi"/>
          <w:color w:val="000000" w:themeColor="text1"/>
          <w:lang w:val="en-US"/>
        </w:rPr>
      </w:pPr>
      <w:r w:rsidRPr="007A71D6">
        <w:rPr>
          <w:rFonts w:cstheme="minorHAnsi"/>
          <w:b/>
          <w:bCs/>
          <w:color w:val="000000" w:themeColor="text1"/>
          <w:lang w:val="en-US"/>
        </w:rPr>
        <w:t>LO1    </w:t>
      </w:r>
      <w:r w:rsidR="00057A98" w:rsidRPr="007A71D6">
        <w:rPr>
          <w:rFonts w:cstheme="minorHAnsi"/>
          <w:b/>
          <w:bCs/>
          <w:color w:val="000000" w:themeColor="text1"/>
          <w:lang w:val="en-US"/>
        </w:rPr>
        <w:tab/>
      </w:r>
      <w:r w:rsidRPr="007A71D6">
        <w:rPr>
          <w:rFonts w:cstheme="minorHAnsi"/>
          <w:color w:val="000000" w:themeColor="text1"/>
          <w:lang w:val="en-US"/>
        </w:rPr>
        <w:t>Work creatively and collaboratively to propose new approaches and outcomes for creative education</w:t>
      </w:r>
    </w:p>
    <w:p w:rsidR="00263848" w:rsidRPr="007A71D6" w:rsidRDefault="00057A98" w:rsidP="00057A98">
      <w:pPr>
        <w:spacing w:after="0" w:line="240" w:lineRule="auto"/>
        <w:ind w:left="567" w:hanging="567"/>
        <w:rPr>
          <w:rFonts w:cstheme="minorHAnsi"/>
          <w:color w:val="000000" w:themeColor="text1"/>
          <w:lang w:val="en-US"/>
        </w:rPr>
      </w:pPr>
      <w:r w:rsidRPr="007A71D6">
        <w:rPr>
          <w:rFonts w:cstheme="minorHAnsi"/>
          <w:b/>
          <w:bCs/>
          <w:color w:val="000000" w:themeColor="text1"/>
          <w:lang w:val="en-US"/>
        </w:rPr>
        <w:t>LO2   </w:t>
      </w:r>
      <w:r w:rsidRPr="007A71D6">
        <w:rPr>
          <w:rFonts w:cstheme="minorHAnsi"/>
          <w:b/>
          <w:bCs/>
          <w:color w:val="000000" w:themeColor="text1"/>
          <w:lang w:val="en-US"/>
        </w:rPr>
        <w:tab/>
      </w:r>
      <w:r w:rsidR="00263848" w:rsidRPr="007A71D6">
        <w:rPr>
          <w:rFonts w:cstheme="minorHAnsi"/>
          <w:color w:val="000000" w:themeColor="text1"/>
          <w:lang w:val="en-US"/>
        </w:rPr>
        <w:t>Justify how your educational practice meets the requirements of Descriptor 1 of the UK Professional Standards Framework</w:t>
      </w:r>
    </w:p>
    <w:p w:rsidR="00263848" w:rsidRPr="007A71D6" w:rsidRDefault="00057A98" w:rsidP="00057A98">
      <w:pPr>
        <w:spacing w:after="0" w:line="240" w:lineRule="auto"/>
        <w:ind w:left="567" w:hanging="567"/>
        <w:rPr>
          <w:rFonts w:cstheme="minorHAnsi"/>
          <w:color w:val="000000" w:themeColor="text1"/>
          <w:lang w:val="en-US"/>
        </w:rPr>
      </w:pPr>
      <w:r w:rsidRPr="007A71D6">
        <w:rPr>
          <w:rFonts w:cstheme="minorHAnsi"/>
          <w:b/>
          <w:bCs/>
          <w:color w:val="000000" w:themeColor="text1"/>
          <w:lang w:val="en-US"/>
        </w:rPr>
        <w:t>LO3    </w:t>
      </w:r>
      <w:r w:rsidRPr="007A71D6">
        <w:rPr>
          <w:rFonts w:cstheme="minorHAnsi"/>
          <w:b/>
          <w:bCs/>
          <w:color w:val="000000" w:themeColor="text1"/>
          <w:lang w:val="en-US"/>
        </w:rPr>
        <w:tab/>
      </w:r>
      <w:r w:rsidR="00263848" w:rsidRPr="007A71D6">
        <w:rPr>
          <w:rFonts w:cstheme="minorHAnsi"/>
          <w:color w:val="000000" w:themeColor="text1"/>
          <w:lang w:val="en-US"/>
        </w:rPr>
        <w:t>Create learning activities/opportunities to meet the needs of a diverse student body</w:t>
      </w:r>
    </w:p>
    <w:p w:rsidR="00263848" w:rsidRPr="007A71D6" w:rsidRDefault="00057A98" w:rsidP="00057A98">
      <w:pPr>
        <w:spacing w:after="0" w:line="240" w:lineRule="auto"/>
        <w:ind w:left="567" w:hanging="567"/>
        <w:rPr>
          <w:rFonts w:cstheme="minorHAnsi"/>
          <w:color w:val="000000" w:themeColor="text1"/>
          <w:lang w:val="en-US"/>
        </w:rPr>
      </w:pPr>
      <w:r w:rsidRPr="007A71D6">
        <w:rPr>
          <w:rFonts w:cstheme="minorHAnsi"/>
          <w:b/>
          <w:bCs/>
          <w:color w:val="000000" w:themeColor="text1"/>
          <w:lang w:val="en-US"/>
        </w:rPr>
        <w:t>LO4    </w:t>
      </w:r>
      <w:r w:rsidRPr="007A71D6">
        <w:rPr>
          <w:rFonts w:cstheme="minorHAnsi"/>
          <w:b/>
          <w:bCs/>
          <w:color w:val="000000" w:themeColor="text1"/>
          <w:lang w:val="en-US"/>
        </w:rPr>
        <w:tab/>
      </w:r>
      <w:r w:rsidR="00263848" w:rsidRPr="007A71D6">
        <w:rPr>
          <w:rFonts w:cstheme="minorHAnsi"/>
          <w:color w:val="000000" w:themeColor="text1"/>
          <w:lang w:val="en-US"/>
        </w:rPr>
        <w:t>Compare the educational benefits of a range of current and emerging learning technologies</w:t>
      </w:r>
    </w:p>
    <w:p w:rsidR="00263848" w:rsidRPr="007A71D6" w:rsidRDefault="00057A98" w:rsidP="00057A98">
      <w:pPr>
        <w:spacing w:after="0" w:line="240" w:lineRule="auto"/>
        <w:ind w:left="567" w:hanging="567"/>
        <w:rPr>
          <w:rFonts w:cstheme="minorHAnsi"/>
          <w:color w:val="000000" w:themeColor="text1"/>
          <w:lang w:val="en-US"/>
        </w:rPr>
      </w:pPr>
      <w:r w:rsidRPr="007A71D6">
        <w:rPr>
          <w:rFonts w:cstheme="minorHAnsi"/>
          <w:b/>
          <w:bCs/>
          <w:color w:val="000000" w:themeColor="text1"/>
          <w:lang w:val="en-US"/>
        </w:rPr>
        <w:t>LO5    </w:t>
      </w:r>
      <w:r w:rsidRPr="007A71D6">
        <w:rPr>
          <w:rFonts w:cstheme="minorHAnsi"/>
          <w:b/>
          <w:bCs/>
          <w:color w:val="000000" w:themeColor="text1"/>
          <w:lang w:val="en-US"/>
        </w:rPr>
        <w:tab/>
      </w:r>
      <w:r w:rsidR="00263848" w:rsidRPr="007A71D6">
        <w:rPr>
          <w:rFonts w:cstheme="minorHAnsi"/>
          <w:color w:val="000000" w:themeColor="text1"/>
          <w:lang w:val="en-US"/>
        </w:rPr>
        <w:t xml:space="preserve">Engage with others and with literature to </w:t>
      </w:r>
      <w:proofErr w:type="spellStart"/>
      <w:r w:rsidR="00263848" w:rsidRPr="007A71D6">
        <w:rPr>
          <w:rFonts w:cstheme="minorHAnsi"/>
          <w:color w:val="000000" w:themeColor="text1"/>
          <w:lang w:val="en-US"/>
        </w:rPr>
        <w:t>analyse</w:t>
      </w:r>
      <w:proofErr w:type="spellEnd"/>
      <w:r w:rsidR="00263848" w:rsidRPr="007A71D6">
        <w:rPr>
          <w:rFonts w:cstheme="minorHAnsi"/>
          <w:color w:val="000000" w:themeColor="text1"/>
          <w:lang w:val="en-US"/>
        </w:rPr>
        <w:t xml:space="preserve"> own role in relation to creative education</w:t>
      </w:r>
    </w:p>
    <w:p w:rsidR="00263848" w:rsidRPr="007A71D6" w:rsidRDefault="00057A98" w:rsidP="00057A98">
      <w:pPr>
        <w:spacing w:after="0" w:line="240" w:lineRule="auto"/>
        <w:ind w:left="567" w:hanging="567"/>
        <w:rPr>
          <w:rFonts w:cstheme="minorHAnsi"/>
          <w:color w:val="000000" w:themeColor="text1"/>
          <w:lang w:val="en-US"/>
        </w:rPr>
      </w:pPr>
      <w:r w:rsidRPr="007A71D6">
        <w:rPr>
          <w:rFonts w:cstheme="minorHAnsi"/>
          <w:b/>
          <w:bCs/>
          <w:color w:val="000000" w:themeColor="text1"/>
          <w:lang w:val="en-US"/>
        </w:rPr>
        <w:t>LO6     </w:t>
      </w:r>
      <w:proofErr w:type="spellStart"/>
      <w:r w:rsidR="00263848" w:rsidRPr="007A71D6">
        <w:rPr>
          <w:rFonts w:cstheme="minorHAnsi"/>
          <w:color w:val="000000" w:themeColor="text1"/>
          <w:lang w:val="en-US"/>
        </w:rPr>
        <w:t>Synthesise</w:t>
      </w:r>
      <w:proofErr w:type="spellEnd"/>
      <w:r w:rsidR="00263848" w:rsidRPr="007A71D6">
        <w:rPr>
          <w:rFonts w:cstheme="minorHAnsi"/>
          <w:color w:val="000000" w:themeColor="text1"/>
          <w:lang w:val="en-US"/>
        </w:rPr>
        <w:t xml:space="preserve"> creative education through your own professional and/or disciplinary context</w:t>
      </w:r>
    </w:p>
    <w:p w:rsidR="00263848" w:rsidRPr="007A71D6" w:rsidRDefault="00263848" w:rsidP="00263848">
      <w:pPr>
        <w:rPr>
          <w:rFonts w:cstheme="minorHAnsi"/>
          <w:color w:val="000000" w:themeColor="text1"/>
          <w:lang w:val="en-GB"/>
        </w:rPr>
      </w:pPr>
    </w:p>
    <w:p w:rsidR="00263848" w:rsidRPr="007A71D6" w:rsidRDefault="00263848" w:rsidP="00263848">
      <w:pPr>
        <w:rPr>
          <w:rFonts w:cstheme="minorHAnsi"/>
          <w:b/>
          <w:bCs/>
          <w:color w:val="000000" w:themeColor="text1"/>
          <w:lang w:val="en-GB"/>
        </w:rPr>
      </w:pPr>
      <w:r w:rsidRPr="007A71D6">
        <w:rPr>
          <w:rFonts w:cstheme="minorHAnsi"/>
          <w:b/>
          <w:bCs/>
          <w:color w:val="000000" w:themeColor="text1"/>
          <w:lang w:val="en-GB"/>
        </w:rPr>
        <w:t>Unit 2: Analysing Creative Education</w:t>
      </w:r>
    </w:p>
    <w:p w:rsidR="00263848" w:rsidRPr="007A71D6" w:rsidRDefault="00263848" w:rsidP="00057A98">
      <w:pPr>
        <w:spacing w:after="0" w:line="240" w:lineRule="auto"/>
        <w:ind w:left="709" w:hanging="709"/>
        <w:rPr>
          <w:rFonts w:cstheme="minorHAnsi"/>
          <w:color w:val="000000" w:themeColor="text1"/>
          <w:lang w:val="en-US"/>
        </w:rPr>
      </w:pPr>
      <w:r w:rsidRPr="007A71D6">
        <w:rPr>
          <w:rFonts w:cstheme="minorHAnsi"/>
          <w:b/>
          <w:bCs/>
          <w:color w:val="000000" w:themeColor="text1"/>
          <w:lang w:val="en-US"/>
        </w:rPr>
        <w:t>LO1      </w:t>
      </w:r>
      <w:r w:rsidR="00057A98" w:rsidRPr="007A71D6">
        <w:rPr>
          <w:rFonts w:cstheme="minorHAnsi"/>
          <w:b/>
          <w:bCs/>
          <w:color w:val="000000" w:themeColor="text1"/>
          <w:lang w:val="en-US"/>
        </w:rPr>
        <w:tab/>
      </w:r>
      <w:r w:rsidRPr="007A71D6">
        <w:rPr>
          <w:rFonts w:cstheme="minorHAnsi"/>
          <w:color w:val="000000" w:themeColor="text1"/>
          <w:lang w:val="en-US"/>
        </w:rPr>
        <w:t>Use knowledge of quality assurance to undertake effective and fair assessment and provide feedback</w:t>
      </w:r>
    </w:p>
    <w:p w:rsidR="00263848" w:rsidRPr="007A71D6" w:rsidRDefault="00057A98" w:rsidP="00057A98">
      <w:pPr>
        <w:spacing w:after="0" w:line="240" w:lineRule="auto"/>
        <w:ind w:left="709" w:hanging="709"/>
        <w:rPr>
          <w:rFonts w:cstheme="minorHAnsi"/>
          <w:b/>
          <w:bCs/>
          <w:color w:val="000000" w:themeColor="text1"/>
          <w:lang w:val="en-US"/>
        </w:rPr>
      </w:pPr>
      <w:r w:rsidRPr="007A71D6">
        <w:rPr>
          <w:rFonts w:cstheme="minorHAnsi"/>
          <w:b/>
          <w:bCs/>
          <w:color w:val="000000" w:themeColor="text1"/>
          <w:lang w:val="en-US"/>
        </w:rPr>
        <w:t>LO2     </w:t>
      </w:r>
      <w:r w:rsidRPr="007A71D6">
        <w:rPr>
          <w:rFonts w:cstheme="minorHAnsi"/>
          <w:b/>
          <w:bCs/>
          <w:color w:val="000000" w:themeColor="text1"/>
          <w:lang w:val="en-US"/>
        </w:rPr>
        <w:tab/>
      </w:r>
      <w:proofErr w:type="spellStart"/>
      <w:r w:rsidR="00263848" w:rsidRPr="007A71D6">
        <w:rPr>
          <w:rFonts w:cstheme="minorHAnsi"/>
          <w:color w:val="000000" w:themeColor="text1"/>
          <w:lang w:val="en-US"/>
        </w:rPr>
        <w:t>Synthesise</w:t>
      </w:r>
      <w:proofErr w:type="spellEnd"/>
      <w:r w:rsidR="00263848" w:rsidRPr="007A71D6">
        <w:rPr>
          <w:rFonts w:cstheme="minorHAnsi"/>
          <w:color w:val="000000" w:themeColor="text1"/>
          <w:lang w:val="en-US"/>
        </w:rPr>
        <w:t xml:space="preserve"> academic research about higher education, social sustainability and wider context with your own professional role</w:t>
      </w:r>
    </w:p>
    <w:p w:rsidR="00263848" w:rsidRPr="007A71D6" w:rsidRDefault="00057A98" w:rsidP="00057A98">
      <w:pPr>
        <w:spacing w:after="0" w:line="240" w:lineRule="auto"/>
        <w:ind w:left="709" w:hanging="709"/>
        <w:rPr>
          <w:rFonts w:cstheme="minorHAnsi"/>
          <w:b/>
          <w:bCs/>
          <w:color w:val="000000" w:themeColor="text1"/>
          <w:lang w:val="en-US"/>
        </w:rPr>
      </w:pPr>
      <w:r w:rsidRPr="007A71D6">
        <w:rPr>
          <w:rFonts w:cstheme="minorHAnsi"/>
          <w:b/>
          <w:bCs/>
          <w:color w:val="000000" w:themeColor="text1"/>
          <w:lang w:val="en-US"/>
        </w:rPr>
        <w:t>LO3     </w:t>
      </w:r>
      <w:r w:rsidRPr="007A71D6">
        <w:rPr>
          <w:rFonts w:cstheme="minorHAnsi"/>
          <w:b/>
          <w:bCs/>
          <w:color w:val="000000" w:themeColor="text1"/>
          <w:lang w:val="en-US"/>
        </w:rPr>
        <w:tab/>
      </w:r>
      <w:r w:rsidR="00263848" w:rsidRPr="007A71D6">
        <w:rPr>
          <w:rFonts w:cstheme="minorHAnsi"/>
          <w:color w:val="000000" w:themeColor="text1"/>
          <w:lang w:val="en-US"/>
        </w:rPr>
        <w:t>Justify how your educational practice meets the requirements of Descriptor 2 of the UK Professional Standards Framework</w:t>
      </w:r>
    </w:p>
    <w:p w:rsidR="00263848" w:rsidRPr="007A71D6" w:rsidRDefault="00057A98" w:rsidP="00057A98">
      <w:pPr>
        <w:spacing w:after="0" w:line="240" w:lineRule="auto"/>
        <w:ind w:left="709" w:hanging="709"/>
        <w:rPr>
          <w:rFonts w:cstheme="minorHAnsi"/>
          <w:b/>
          <w:bCs/>
          <w:color w:val="000000" w:themeColor="text1"/>
          <w:lang w:val="en-US"/>
        </w:rPr>
      </w:pPr>
      <w:r w:rsidRPr="007A71D6">
        <w:rPr>
          <w:rFonts w:cstheme="minorHAnsi"/>
          <w:b/>
          <w:bCs/>
          <w:color w:val="000000" w:themeColor="text1"/>
          <w:lang w:val="en-US"/>
        </w:rPr>
        <w:t>LO4      </w:t>
      </w:r>
      <w:r w:rsidRPr="007A71D6">
        <w:rPr>
          <w:rFonts w:cstheme="minorHAnsi"/>
          <w:b/>
          <w:bCs/>
          <w:color w:val="000000" w:themeColor="text1"/>
          <w:lang w:val="en-US"/>
        </w:rPr>
        <w:tab/>
      </w:r>
      <w:r w:rsidR="00263848" w:rsidRPr="007A71D6">
        <w:rPr>
          <w:rFonts w:cstheme="minorHAnsi"/>
          <w:color w:val="000000" w:themeColor="text1"/>
          <w:lang w:val="en-US"/>
        </w:rPr>
        <w:t>Work creatively and collaboratively to plan and implement creative teaching activities that encourage successful engagement and meet the needs of diverse learning communities</w:t>
      </w:r>
    </w:p>
    <w:p w:rsidR="00263848" w:rsidRPr="007A71D6" w:rsidRDefault="00057A98" w:rsidP="00057A98">
      <w:pPr>
        <w:spacing w:after="0" w:line="240" w:lineRule="auto"/>
        <w:ind w:left="709" w:hanging="709"/>
        <w:rPr>
          <w:rFonts w:cstheme="minorHAnsi"/>
          <w:b/>
          <w:bCs/>
          <w:color w:val="000000" w:themeColor="text1"/>
          <w:lang w:val="en-US"/>
        </w:rPr>
      </w:pPr>
      <w:r w:rsidRPr="007A71D6">
        <w:rPr>
          <w:rFonts w:cstheme="minorHAnsi"/>
          <w:b/>
          <w:bCs/>
          <w:color w:val="000000" w:themeColor="text1"/>
          <w:lang w:val="en-US"/>
        </w:rPr>
        <w:t>LO5      </w:t>
      </w:r>
      <w:r w:rsidRPr="007A71D6">
        <w:rPr>
          <w:rFonts w:cstheme="minorHAnsi"/>
          <w:b/>
          <w:bCs/>
          <w:color w:val="000000" w:themeColor="text1"/>
          <w:lang w:val="en-US"/>
        </w:rPr>
        <w:tab/>
      </w:r>
      <w:r w:rsidR="00263848" w:rsidRPr="007A71D6">
        <w:rPr>
          <w:rFonts w:cstheme="minorHAnsi"/>
          <w:color w:val="000000" w:themeColor="text1"/>
          <w:lang w:val="en-US"/>
        </w:rPr>
        <w:t>Evaluate a range of technologies to support learning and teaching</w:t>
      </w:r>
    </w:p>
    <w:p w:rsidR="00263848" w:rsidRPr="007A71D6" w:rsidRDefault="00057A98" w:rsidP="00057A98">
      <w:pPr>
        <w:spacing w:after="0" w:line="240" w:lineRule="auto"/>
        <w:ind w:left="709" w:hanging="709"/>
        <w:rPr>
          <w:rFonts w:cstheme="minorHAnsi"/>
          <w:color w:val="000000" w:themeColor="text1"/>
          <w:lang w:val="en-US"/>
        </w:rPr>
      </w:pPr>
      <w:r w:rsidRPr="007A71D6">
        <w:rPr>
          <w:rFonts w:cstheme="minorHAnsi"/>
          <w:b/>
          <w:bCs/>
          <w:color w:val="000000" w:themeColor="text1"/>
          <w:lang w:val="en-US"/>
        </w:rPr>
        <w:t>LO6      </w:t>
      </w:r>
      <w:r w:rsidRPr="007A71D6">
        <w:rPr>
          <w:rFonts w:cstheme="minorHAnsi"/>
          <w:b/>
          <w:bCs/>
          <w:color w:val="000000" w:themeColor="text1"/>
          <w:lang w:val="en-US"/>
        </w:rPr>
        <w:tab/>
      </w:r>
      <w:r w:rsidR="00263848" w:rsidRPr="007A71D6">
        <w:rPr>
          <w:rFonts w:cstheme="minorHAnsi"/>
          <w:color w:val="000000" w:themeColor="text1"/>
          <w:lang w:val="en-US"/>
        </w:rPr>
        <w:t>Communicate to a wider audience the results of your reflections on your own professional development</w:t>
      </w:r>
    </w:p>
    <w:p w:rsidR="00D25861" w:rsidRDefault="00D25861" w:rsidP="00D25861">
      <w:pPr>
        <w:pBdr>
          <w:bottom w:val="single" w:sz="6" w:space="1" w:color="auto"/>
        </w:pBdr>
        <w:rPr>
          <w:rFonts w:cstheme="minorHAnsi"/>
          <w:color w:val="000000" w:themeColor="text1"/>
          <w:lang w:val="en-GB"/>
        </w:rPr>
      </w:pPr>
    </w:p>
    <w:p w:rsidR="000E67DB" w:rsidRPr="007A71D6" w:rsidRDefault="007A71D6" w:rsidP="00601672">
      <w:pPr>
        <w:rPr>
          <w:rFonts w:cstheme="minorHAnsi"/>
          <w:color w:val="000000" w:themeColor="text1"/>
          <w:lang w:val="en-GB"/>
        </w:rPr>
      </w:pPr>
      <w:r>
        <w:rPr>
          <w:rFonts w:cstheme="minorHAnsi"/>
          <w:color w:val="000000" w:themeColor="text1"/>
          <w:lang w:val="en-GB"/>
        </w:rPr>
        <w:softHyphen/>
      </w:r>
      <w:r>
        <w:rPr>
          <w:rFonts w:cstheme="minorHAnsi"/>
          <w:color w:val="000000" w:themeColor="text1"/>
          <w:lang w:val="en-GB"/>
        </w:rPr>
        <w:softHyphen/>
      </w:r>
      <w:r>
        <w:rPr>
          <w:rFonts w:cstheme="minorHAnsi"/>
          <w:color w:val="000000" w:themeColor="text1"/>
          <w:lang w:val="en-GB"/>
        </w:rPr>
        <w:softHyphen/>
      </w:r>
      <w:r>
        <w:rPr>
          <w:rFonts w:cstheme="minorHAnsi"/>
          <w:color w:val="000000" w:themeColor="text1"/>
          <w:lang w:val="en-GB"/>
        </w:rPr>
        <w:softHyphen/>
      </w:r>
      <w:r>
        <w:rPr>
          <w:rFonts w:cstheme="minorHAnsi"/>
          <w:color w:val="000000" w:themeColor="text1"/>
          <w:lang w:val="en-GB"/>
        </w:rPr>
        <w:softHyphen/>
      </w:r>
      <w:r>
        <w:rPr>
          <w:rFonts w:cstheme="minorHAnsi"/>
          <w:color w:val="000000" w:themeColor="text1"/>
          <w:lang w:val="en-GB"/>
        </w:rPr>
        <w:softHyphen/>
      </w:r>
      <w:r>
        <w:rPr>
          <w:rFonts w:cstheme="minorHAnsi"/>
          <w:color w:val="000000" w:themeColor="text1"/>
          <w:lang w:val="en-GB"/>
        </w:rPr>
        <w:softHyphen/>
      </w:r>
      <w:r w:rsidR="00601672" w:rsidRPr="007A71D6">
        <w:rPr>
          <w:rFonts w:cstheme="minorHAnsi"/>
          <w:b/>
          <w:color w:val="000000" w:themeColor="text1"/>
          <w:sz w:val="28"/>
          <w:lang w:val="en-US"/>
        </w:rPr>
        <w:t>C</w:t>
      </w:r>
      <w:r w:rsidR="002C7C94" w:rsidRPr="007A71D6">
        <w:rPr>
          <w:rFonts w:cstheme="minorHAnsi"/>
          <w:b/>
          <w:color w:val="000000" w:themeColor="text1"/>
          <w:sz w:val="28"/>
          <w:lang w:val="en-US"/>
        </w:rPr>
        <w:t>ase Study 6</w:t>
      </w:r>
    </w:p>
    <w:p w:rsidR="000E67DB" w:rsidRPr="007A71D6" w:rsidRDefault="000E67DB" w:rsidP="000E67DB">
      <w:pPr>
        <w:pStyle w:val="Default"/>
        <w:rPr>
          <w:rFonts w:asciiTheme="minorHAnsi" w:hAnsiTheme="minorHAnsi" w:cstheme="minorHAnsi"/>
          <w:color w:val="000000" w:themeColor="text1"/>
          <w:sz w:val="22"/>
          <w:szCs w:val="22"/>
          <w:lang w:val="en-US"/>
        </w:rPr>
      </w:pPr>
      <w:r w:rsidRPr="007A71D6">
        <w:rPr>
          <w:rFonts w:asciiTheme="minorHAnsi" w:hAnsiTheme="minorHAnsi" w:cstheme="minorHAnsi"/>
          <w:b/>
          <w:bCs/>
          <w:color w:val="000000" w:themeColor="text1"/>
          <w:sz w:val="22"/>
          <w:szCs w:val="22"/>
          <w:lang w:val="en-US"/>
        </w:rPr>
        <w:t xml:space="preserve">Programme aims. </w:t>
      </w:r>
    </w:p>
    <w:p w:rsidR="000E67DB" w:rsidRPr="007A71D6" w:rsidRDefault="000E67DB" w:rsidP="000E67DB">
      <w:pPr>
        <w:pStyle w:val="Default"/>
        <w:rPr>
          <w:rFonts w:asciiTheme="minorHAnsi" w:hAnsiTheme="minorHAnsi" w:cstheme="minorHAnsi"/>
          <w:color w:val="000000" w:themeColor="text1"/>
          <w:sz w:val="22"/>
          <w:szCs w:val="22"/>
          <w:lang w:val="en-US"/>
        </w:rPr>
      </w:pPr>
      <w:r w:rsidRPr="007A71D6">
        <w:rPr>
          <w:rFonts w:asciiTheme="minorHAnsi" w:hAnsiTheme="minorHAnsi" w:cstheme="minorHAnsi"/>
          <w:color w:val="000000" w:themeColor="text1"/>
          <w:sz w:val="22"/>
          <w:szCs w:val="22"/>
          <w:lang w:val="en-US"/>
        </w:rPr>
        <w:t xml:space="preserve">To enable learners to: </w:t>
      </w:r>
    </w:p>
    <w:p w:rsidR="000E67DB" w:rsidRPr="007A71D6" w:rsidRDefault="000E67DB" w:rsidP="00601672">
      <w:pPr>
        <w:pStyle w:val="Default"/>
        <w:numPr>
          <w:ilvl w:val="1"/>
          <w:numId w:val="6"/>
        </w:numPr>
        <w:ind w:left="567" w:hanging="567"/>
        <w:rPr>
          <w:rFonts w:asciiTheme="minorHAnsi" w:hAnsiTheme="minorHAnsi" w:cstheme="minorHAnsi"/>
          <w:color w:val="000000" w:themeColor="text1"/>
          <w:sz w:val="22"/>
          <w:szCs w:val="22"/>
          <w:lang w:val="en-US"/>
        </w:rPr>
      </w:pPr>
      <w:r w:rsidRPr="007A71D6">
        <w:rPr>
          <w:rFonts w:asciiTheme="minorHAnsi" w:hAnsiTheme="minorHAnsi" w:cstheme="minorHAnsi"/>
          <w:color w:val="000000" w:themeColor="text1"/>
          <w:sz w:val="22"/>
          <w:szCs w:val="22"/>
          <w:lang w:val="en-US"/>
        </w:rPr>
        <w:t xml:space="preserve">Become credible and authentic educators who enthuse and inspire others to learn. </w:t>
      </w:r>
    </w:p>
    <w:p w:rsidR="000E67DB" w:rsidRPr="007A71D6" w:rsidRDefault="000E67DB" w:rsidP="00601672">
      <w:pPr>
        <w:pStyle w:val="Default"/>
        <w:numPr>
          <w:ilvl w:val="1"/>
          <w:numId w:val="6"/>
        </w:numPr>
        <w:ind w:left="567" w:hanging="567"/>
        <w:rPr>
          <w:rFonts w:asciiTheme="minorHAnsi" w:hAnsiTheme="minorHAnsi" w:cstheme="minorHAnsi"/>
          <w:color w:val="000000" w:themeColor="text1"/>
          <w:sz w:val="22"/>
          <w:szCs w:val="22"/>
          <w:lang w:val="en-US"/>
        </w:rPr>
      </w:pPr>
      <w:r w:rsidRPr="007A71D6">
        <w:rPr>
          <w:rFonts w:asciiTheme="minorHAnsi" w:hAnsiTheme="minorHAnsi" w:cstheme="minorHAnsi"/>
          <w:color w:val="000000" w:themeColor="text1"/>
          <w:sz w:val="22"/>
          <w:szCs w:val="22"/>
          <w:lang w:val="en-US"/>
        </w:rPr>
        <w:t xml:space="preserve">Strive for teaching excellence by embracing opportunities to develop themselves as competent, confident, reflexive and resilient teachers and supporters of learning within and beyond their disciplinary/professional context and sphere of influence. </w:t>
      </w:r>
    </w:p>
    <w:p w:rsidR="000E67DB" w:rsidRPr="007A71D6" w:rsidRDefault="000E67DB" w:rsidP="00601672">
      <w:pPr>
        <w:pStyle w:val="Default"/>
        <w:numPr>
          <w:ilvl w:val="1"/>
          <w:numId w:val="6"/>
        </w:numPr>
        <w:ind w:left="567" w:hanging="567"/>
        <w:rPr>
          <w:rFonts w:asciiTheme="minorHAnsi" w:hAnsiTheme="minorHAnsi" w:cstheme="minorHAnsi"/>
          <w:color w:val="000000" w:themeColor="text1"/>
          <w:sz w:val="22"/>
          <w:szCs w:val="22"/>
          <w:lang w:val="en-US"/>
        </w:rPr>
      </w:pPr>
      <w:r w:rsidRPr="007A71D6">
        <w:rPr>
          <w:rFonts w:asciiTheme="minorHAnsi" w:hAnsiTheme="minorHAnsi" w:cstheme="minorHAnsi"/>
          <w:color w:val="000000" w:themeColor="text1"/>
          <w:sz w:val="22"/>
          <w:szCs w:val="22"/>
          <w:lang w:val="en-US"/>
        </w:rPr>
        <w:lastRenderedPageBreak/>
        <w:t xml:space="preserve">Explore and experiment with a range of strategies, methods, tools and working practices in transdisciplinary and disciplinary contexts to acquire the knowledge, skills and experience to support this development. </w:t>
      </w:r>
    </w:p>
    <w:p w:rsidR="000E67DB" w:rsidRPr="007A71D6" w:rsidRDefault="000E67DB" w:rsidP="00601672">
      <w:pPr>
        <w:pStyle w:val="Default"/>
        <w:numPr>
          <w:ilvl w:val="1"/>
          <w:numId w:val="6"/>
        </w:numPr>
        <w:ind w:left="567" w:hanging="567"/>
        <w:rPr>
          <w:rFonts w:asciiTheme="minorHAnsi" w:hAnsiTheme="minorHAnsi" w:cstheme="minorHAnsi"/>
          <w:color w:val="000000" w:themeColor="text1"/>
          <w:sz w:val="22"/>
          <w:szCs w:val="22"/>
          <w:lang w:val="en-US"/>
        </w:rPr>
      </w:pPr>
      <w:r w:rsidRPr="007A71D6">
        <w:rPr>
          <w:rFonts w:asciiTheme="minorHAnsi" w:hAnsiTheme="minorHAnsi" w:cstheme="minorHAnsi"/>
          <w:color w:val="000000" w:themeColor="text1"/>
          <w:sz w:val="22"/>
          <w:szCs w:val="22"/>
          <w:lang w:val="en-US"/>
        </w:rPr>
        <w:t>Share their experience, expertise and evidenced informed practice to contribute to the teaching practices of colleagues within and beyond their sphere of influence, in a manner which respects the diversity of discipline</w:t>
      </w:r>
      <w:r w:rsidR="00601672" w:rsidRPr="007A71D6">
        <w:rPr>
          <w:rFonts w:asciiTheme="minorHAnsi" w:hAnsiTheme="minorHAnsi" w:cstheme="minorHAnsi"/>
          <w:color w:val="000000" w:themeColor="text1"/>
          <w:sz w:val="22"/>
          <w:szCs w:val="22"/>
          <w:lang w:val="en-US"/>
        </w:rPr>
        <w:t xml:space="preserve">s and professions, their </w:t>
      </w:r>
      <w:proofErr w:type="spellStart"/>
      <w:r w:rsidR="00601672" w:rsidRPr="007A71D6">
        <w:rPr>
          <w:rFonts w:asciiTheme="minorHAnsi" w:hAnsiTheme="minorHAnsi" w:cstheme="minorHAnsi"/>
          <w:color w:val="000000" w:themeColor="text1"/>
          <w:sz w:val="22"/>
          <w:szCs w:val="22"/>
          <w:lang w:val="en-US"/>
        </w:rPr>
        <w:t>pract</w:t>
      </w:r>
      <w:r w:rsidRPr="007A71D6">
        <w:rPr>
          <w:rFonts w:asciiTheme="minorHAnsi" w:hAnsiTheme="minorHAnsi" w:cstheme="minorHAnsi"/>
          <w:color w:val="000000" w:themeColor="text1"/>
          <w:sz w:val="22"/>
          <w:szCs w:val="22"/>
          <w:lang w:val="en-US"/>
        </w:rPr>
        <w:t>es</w:t>
      </w:r>
      <w:proofErr w:type="spellEnd"/>
      <w:r w:rsidRPr="007A71D6">
        <w:rPr>
          <w:rFonts w:asciiTheme="minorHAnsi" w:hAnsiTheme="minorHAnsi" w:cstheme="minorHAnsi"/>
          <w:color w:val="000000" w:themeColor="text1"/>
          <w:sz w:val="22"/>
          <w:szCs w:val="22"/>
          <w:lang w:val="en-US"/>
        </w:rPr>
        <w:t xml:space="preserve"> and members. </w:t>
      </w:r>
    </w:p>
    <w:p w:rsidR="00601672" w:rsidRPr="007A71D6" w:rsidRDefault="00601672" w:rsidP="00601672">
      <w:pPr>
        <w:pStyle w:val="Default"/>
        <w:ind w:left="567"/>
        <w:rPr>
          <w:rFonts w:asciiTheme="minorHAnsi" w:hAnsiTheme="minorHAnsi" w:cstheme="minorHAnsi"/>
          <w:color w:val="000000" w:themeColor="text1"/>
          <w:sz w:val="22"/>
          <w:szCs w:val="22"/>
          <w:lang w:val="en-US"/>
        </w:rPr>
      </w:pPr>
    </w:p>
    <w:p w:rsidR="000E67DB" w:rsidRPr="007A71D6" w:rsidRDefault="00601672" w:rsidP="000E67DB">
      <w:pPr>
        <w:pStyle w:val="Default"/>
        <w:rPr>
          <w:rFonts w:asciiTheme="minorHAnsi" w:hAnsiTheme="minorHAnsi" w:cstheme="minorHAnsi"/>
          <w:b/>
          <w:bCs/>
          <w:color w:val="000000" w:themeColor="text1"/>
          <w:sz w:val="22"/>
          <w:szCs w:val="22"/>
          <w:lang w:val="en-US"/>
        </w:rPr>
      </w:pPr>
      <w:r w:rsidRPr="007A71D6">
        <w:rPr>
          <w:rFonts w:asciiTheme="minorHAnsi" w:hAnsiTheme="minorHAnsi" w:cstheme="minorHAnsi"/>
          <w:b/>
          <w:bCs/>
          <w:color w:val="000000" w:themeColor="text1"/>
          <w:sz w:val="22"/>
          <w:szCs w:val="22"/>
          <w:lang w:val="en-US"/>
        </w:rPr>
        <w:t>Programme learning outcomes</w:t>
      </w:r>
    </w:p>
    <w:p w:rsidR="00601672" w:rsidRPr="007A71D6" w:rsidRDefault="00601672" w:rsidP="000E67DB">
      <w:pPr>
        <w:pStyle w:val="Default"/>
        <w:rPr>
          <w:rFonts w:asciiTheme="minorHAnsi" w:hAnsiTheme="minorHAnsi" w:cstheme="minorHAnsi"/>
          <w:color w:val="000000" w:themeColor="text1"/>
          <w:sz w:val="22"/>
          <w:szCs w:val="22"/>
          <w:lang w:val="en-US"/>
        </w:rPr>
      </w:pPr>
    </w:p>
    <w:p w:rsidR="00601672" w:rsidRPr="007A71D6" w:rsidRDefault="000E67DB" w:rsidP="000E67DB">
      <w:pPr>
        <w:pStyle w:val="Default"/>
        <w:rPr>
          <w:rFonts w:asciiTheme="minorHAnsi" w:hAnsiTheme="minorHAnsi" w:cstheme="minorHAnsi"/>
          <w:i/>
          <w:iCs/>
          <w:color w:val="000000" w:themeColor="text1"/>
          <w:sz w:val="22"/>
          <w:szCs w:val="22"/>
          <w:lang w:val="en-US"/>
        </w:rPr>
      </w:pPr>
      <w:r w:rsidRPr="007A71D6">
        <w:rPr>
          <w:rFonts w:asciiTheme="minorHAnsi" w:hAnsiTheme="minorHAnsi" w:cstheme="minorHAnsi"/>
          <w:i/>
          <w:iCs/>
          <w:color w:val="000000" w:themeColor="text1"/>
          <w:sz w:val="22"/>
          <w:szCs w:val="22"/>
          <w:lang w:val="en-US"/>
        </w:rPr>
        <w:t xml:space="preserve">Knowledge and Understanding </w:t>
      </w:r>
    </w:p>
    <w:p w:rsidR="000E67DB" w:rsidRPr="007A71D6" w:rsidRDefault="000E67DB" w:rsidP="00601672">
      <w:pPr>
        <w:pStyle w:val="Default"/>
        <w:ind w:left="426" w:hanging="426"/>
        <w:rPr>
          <w:rFonts w:asciiTheme="minorHAnsi" w:hAnsiTheme="minorHAnsi" w:cstheme="minorHAnsi"/>
          <w:color w:val="000000" w:themeColor="text1"/>
          <w:sz w:val="22"/>
          <w:szCs w:val="22"/>
          <w:lang w:val="en-US"/>
        </w:rPr>
      </w:pPr>
      <w:r w:rsidRPr="007A71D6">
        <w:rPr>
          <w:rFonts w:asciiTheme="minorHAnsi" w:hAnsiTheme="minorHAnsi" w:cstheme="minorHAnsi"/>
          <w:color w:val="000000" w:themeColor="text1"/>
          <w:sz w:val="22"/>
          <w:szCs w:val="22"/>
          <w:lang w:val="en-US"/>
        </w:rPr>
        <w:t xml:space="preserve">K1 </w:t>
      </w:r>
      <w:r w:rsidR="00601672" w:rsidRPr="007A71D6">
        <w:rPr>
          <w:rFonts w:asciiTheme="minorHAnsi" w:hAnsiTheme="minorHAnsi" w:cstheme="minorHAnsi"/>
          <w:color w:val="000000" w:themeColor="text1"/>
          <w:sz w:val="22"/>
          <w:szCs w:val="22"/>
          <w:lang w:val="en-US"/>
        </w:rPr>
        <w:tab/>
      </w:r>
      <w:r w:rsidRPr="007A71D6">
        <w:rPr>
          <w:rFonts w:asciiTheme="minorHAnsi" w:hAnsiTheme="minorHAnsi" w:cstheme="minorHAnsi"/>
          <w:color w:val="000000" w:themeColor="text1"/>
          <w:sz w:val="22"/>
          <w:szCs w:val="22"/>
          <w:lang w:val="en-US"/>
        </w:rPr>
        <w:t>Knowledge of the models, theories and approaches associated with the Scholarship of Teaching, Learning and Assessment (</w:t>
      </w:r>
      <w:proofErr w:type="spellStart"/>
      <w:r w:rsidRPr="007A71D6">
        <w:rPr>
          <w:rFonts w:asciiTheme="minorHAnsi" w:hAnsiTheme="minorHAnsi" w:cstheme="minorHAnsi"/>
          <w:color w:val="000000" w:themeColor="text1"/>
          <w:sz w:val="22"/>
          <w:szCs w:val="22"/>
          <w:lang w:val="en-US"/>
        </w:rPr>
        <w:t>eg</w:t>
      </w:r>
      <w:proofErr w:type="spellEnd"/>
      <w:r w:rsidRPr="007A71D6">
        <w:rPr>
          <w:rFonts w:asciiTheme="minorHAnsi" w:hAnsiTheme="minorHAnsi" w:cstheme="minorHAnsi"/>
          <w:color w:val="000000" w:themeColor="text1"/>
          <w:sz w:val="22"/>
          <w:szCs w:val="22"/>
          <w:lang w:val="en-US"/>
        </w:rPr>
        <w:t xml:space="preserve"> the learning process; learner characteristics and context; curriculum design and implementation; developing reflective and reflexive practice). </w:t>
      </w:r>
    </w:p>
    <w:p w:rsidR="000E67DB" w:rsidRPr="007A71D6" w:rsidRDefault="000E67DB" w:rsidP="00601672">
      <w:pPr>
        <w:pStyle w:val="Default"/>
        <w:ind w:left="426" w:hanging="426"/>
        <w:rPr>
          <w:rFonts w:asciiTheme="minorHAnsi" w:hAnsiTheme="minorHAnsi" w:cstheme="minorHAnsi"/>
          <w:color w:val="000000" w:themeColor="text1"/>
          <w:sz w:val="22"/>
          <w:szCs w:val="22"/>
          <w:lang w:val="en-US"/>
        </w:rPr>
      </w:pPr>
      <w:r w:rsidRPr="007A71D6">
        <w:rPr>
          <w:rFonts w:asciiTheme="minorHAnsi" w:hAnsiTheme="minorHAnsi" w:cstheme="minorHAnsi"/>
          <w:color w:val="000000" w:themeColor="text1"/>
          <w:sz w:val="22"/>
          <w:szCs w:val="22"/>
          <w:lang w:val="en-US"/>
        </w:rPr>
        <w:t>K2</w:t>
      </w:r>
      <w:r w:rsidR="00601672" w:rsidRPr="007A71D6">
        <w:rPr>
          <w:rFonts w:asciiTheme="minorHAnsi" w:hAnsiTheme="minorHAnsi" w:cstheme="minorHAnsi"/>
          <w:color w:val="000000" w:themeColor="text1"/>
          <w:sz w:val="22"/>
          <w:szCs w:val="22"/>
          <w:lang w:val="en-US"/>
        </w:rPr>
        <w:tab/>
      </w:r>
      <w:r w:rsidRPr="007A71D6">
        <w:rPr>
          <w:rFonts w:asciiTheme="minorHAnsi" w:hAnsiTheme="minorHAnsi" w:cstheme="minorHAnsi"/>
          <w:color w:val="000000" w:themeColor="text1"/>
          <w:sz w:val="22"/>
          <w:szCs w:val="22"/>
          <w:lang w:val="en-US"/>
        </w:rPr>
        <w:t>Knowledge of the wider Higher Education context and associated political agenda and how th</w:t>
      </w:r>
      <w:r w:rsidR="00601672" w:rsidRPr="007A71D6">
        <w:rPr>
          <w:rFonts w:asciiTheme="minorHAnsi" w:hAnsiTheme="minorHAnsi" w:cstheme="minorHAnsi"/>
          <w:color w:val="000000" w:themeColor="text1"/>
          <w:sz w:val="22"/>
          <w:szCs w:val="22"/>
          <w:lang w:val="en-US"/>
        </w:rPr>
        <w:t>is translates into practice at the University</w:t>
      </w:r>
      <w:r w:rsidRPr="007A71D6">
        <w:rPr>
          <w:rFonts w:asciiTheme="minorHAnsi" w:hAnsiTheme="minorHAnsi" w:cstheme="minorHAnsi"/>
          <w:color w:val="000000" w:themeColor="text1"/>
          <w:sz w:val="22"/>
          <w:szCs w:val="22"/>
          <w:lang w:val="en-US"/>
        </w:rPr>
        <w:t xml:space="preserve">. </w:t>
      </w:r>
    </w:p>
    <w:p w:rsidR="00601672" w:rsidRPr="007A71D6" w:rsidRDefault="00601672" w:rsidP="00601672">
      <w:pPr>
        <w:pStyle w:val="Default"/>
        <w:ind w:left="426" w:hanging="426"/>
        <w:rPr>
          <w:rFonts w:asciiTheme="minorHAnsi" w:hAnsiTheme="minorHAnsi" w:cstheme="minorHAnsi"/>
          <w:color w:val="000000" w:themeColor="text1"/>
          <w:sz w:val="22"/>
          <w:szCs w:val="22"/>
          <w:lang w:val="en-US"/>
        </w:rPr>
      </w:pPr>
    </w:p>
    <w:p w:rsidR="000E67DB" w:rsidRPr="007A71D6" w:rsidRDefault="000E67DB" w:rsidP="000E67DB">
      <w:pPr>
        <w:pStyle w:val="Default"/>
        <w:rPr>
          <w:rFonts w:asciiTheme="minorHAnsi" w:hAnsiTheme="minorHAnsi" w:cstheme="minorHAnsi"/>
          <w:color w:val="000000" w:themeColor="text1"/>
          <w:sz w:val="22"/>
          <w:szCs w:val="22"/>
          <w:lang w:val="en-US"/>
        </w:rPr>
      </w:pPr>
      <w:r w:rsidRPr="007A71D6">
        <w:rPr>
          <w:rFonts w:asciiTheme="minorHAnsi" w:hAnsiTheme="minorHAnsi" w:cstheme="minorHAnsi"/>
          <w:i/>
          <w:iCs/>
          <w:color w:val="000000" w:themeColor="text1"/>
          <w:sz w:val="22"/>
          <w:szCs w:val="22"/>
          <w:lang w:val="en-US"/>
        </w:rPr>
        <w:t xml:space="preserve">Skills and other attributes </w:t>
      </w:r>
    </w:p>
    <w:p w:rsidR="000E67DB" w:rsidRPr="007A71D6" w:rsidRDefault="000E67DB" w:rsidP="00601672">
      <w:pPr>
        <w:pStyle w:val="Default"/>
        <w:ind w:left="426" w:hanging="426"/>
        <w:rPr>
          <w:rFonts w:asciiTheme="minorHAnsi" w:hAnsiTheme="minorHAnsi" w:cstheme="minorHAnsi"/>
          <w:color w:val="000000" w:themeColor="text1"/>
          <w:sz w:val="22"/>
          <w:szCs w:val="22"/>
          <w:lang w:val="en-US"/>
        </w:rPr>
      </w:pPr>
      <w:r w:rsidRPr="007A71D6">
        <w:rPr>
          <w:rFonts w:asciiTheme="minorHAnsi" w:hAnsiTheme="minorHAnsi" w:cstheme="minorHAnsi"/>
          <w:color w:val="000000" w:themeColor="text1"/>
          <w:sz w:val="22"/>
          <w:szCs w:val="22"/>
          <w:lang w:val="en-US"/>
        </w:rPr>
        <w:t xml:space="preserve">S1 </w:t>
      </w:r>
      <w:r w:rsidR="00601672" w:rsidRPr="007A71D6">
        <w:rPr>
          <w:rFonts w:asciiTheme="minorHAnsi" w:hAnsiTheme="minorHAnsi" w:cstheme="minorHAnsi"/>
          <w:color w:val="000000" w:themeColor="text1"/>
          <w:sz w:val="22"/>
          <w:szCs w:val="22"/>
          <w:lang w:val="en-US"/>
        </w:rPr>
        <w:tab/>
      </w:r>
      <w:r w:rsidRPr="007A71D6">
        <w:rPr>
          <w:rFonts w:asciiTheme="minorHAnsi" w:hAnsiTheme="minorHAnsi" w:cstheme="minorHAnsi"/>
          <w:color w:val="000000" w:themeColor="text1"/>
          <w:sz w:val="22"/>
          <w:szCs w:val="22"/>
          <w:lang w:val="en-US"/>
        </w:rPr>
        <w:t xml:space="preserve">Critically engage in the Scholarship of Teaching and </w:t>
      </w:r>
      <w:proofErr w:type="gramStart"/>
      <w:r w:rsidRPr="007A71D6">
        <w:rPr>
          <w:rFonts w:asciiTheme="minorHAnsi" w:hAnsiTheme="minorHAnsi" w:cstheme="minorHAnsi"/>
          <w:color w:val="000000" w:themeColor="text1"/>
          <w:sz w:val="22"/>
          <w:szCs w:val="22"/>
          <w:lang w:val="en-US"/>
        </w:rPr>
        <w:t>Learning, and</w:t>
      </w:r>
      <w:proofErr w:type="gramEnd"/>
      <w:r w:rsidRPr="007A71D6">
        <w:rPr>
          <w:rFonts w:asciiTheme="minorHAnsi" w:hAnsiTheme="minorHAnsi" w:cstheme="minorHAnsi"/>
          <w:color w:val="000000" w:themeColor="text1"/>
          <w:sz w:val="22"/>
          <w:szCs w:val="22"/>
          <w:lang w:val="en-US"/>
        </w:rPr>
        <w:t xml:space="preserve"> contribute to its development through the sharing of evidence-informed practice beyond their sphere of influence. </w:t>
      </w:r>
    </w:p>
    <w:p w:rsidR="000E67DB" w:rsidRPr="007A71D6" w:rsidRDefault="000E67DB" w:rsidP="00601672">
      <w:pPr>
        <w:pStyle w:val="Default"/>
        <w:ind w:left="426" w:hanging="426"/>
        <w:rPr>
          <w:rFonts w:asciiTheme="minorHAnsi" w:hAnsiTheme="minorHAnsi" w:cstheme="minorHAnsi"/>
          <w:color w:val="000000" w:themeColor="text1"/>
          <w:sz w:val="22"/>
          <w:szCs w:val="22"/>
          <w:lang w:val="en-US"/>
        </w:rPr>
      </w:pPr>
      <w:r w:rsidRPr="007A71D6">
        <w:rPr>
          <w:rFonts w:asciiTheme="minorHAnsi" w:hAnsiTheme="minorHAnsi" w:cstheme="minorHAnsi"/>
          <w:color w:val="000000" w:themeColor="text1"/>
          <w:sz w:val="22"/>
          <w:szCs w:val="22"/>
          <w:lang w:val="en-US"/>
        </w:rPr>
        <w:t xml:space="preserve">S2 </w:t>
      </w:r>
      <w:r w:rsidR="00601672" w:rsidRPr="007A71D6">
        <w:rPr>
          <w:rFonts w:asciiTheme="minorHAnsi" w:hAnsiTheme="minorHAnsi" w:cstheme="minorHAnsi"/>
          <w:color w:val="000000" w:themeColor="text1"/>
          <w:sz w:val="22"/>
          <w:szCs w:val="22"/>
          <w:lang w:val="en-US"/>
        </w:rPr>
        <w:tab/>
      </w:r>
      <w:r w:rsidRPr="007A71D6">
        <w:rPr>
          <w:rFonts w:asciiTheme="minorHAnsi" w:hAnsiTheme="minorHAnsi" w:cstheme="minorHAnsi"/>
          <w:color w:val="000000" w:themeColor="text1"/>
          <w:sz w:val="22"/>
          <w:szCs w:val="22"/>
          <w:lang w:val="en-US"/>
        </w:rPr>
        <w:t xml:space="preserve">Develop an evidence-informed approach to the on-going evaluation of teaching practice to support all learners and learning. </w:t>
      </w:r>
    </w:p>
    <w:p w:rsidR="000E67DB" w:rsidRPr="007A71D6" w:rsidRDefault="000E67DB" w:rsidP="00601672">
      <w:pPr>
        <w:pStyle w:val="Default"/>
        <w:ind w:left="426" w:hanging="426"/>
        <w:rPr>
          <w:rFonts w:asciiTheme="minorHAnsi" w:hAnsiTheme="minorHAnsi" w:cstheme="minorHAnsi"/>
          <w:color w:val="000000" w:themeColor="text1"/>
          <w:sz w:val="22"/>
          <w:szCs w:val="22"/>
          <w:lang w:val="en-US"/>
        </w:rPr>
      </w:pPr>
      <w:r w:rsidRPr="007A71D6">
        <w:rPr>
          <w:rFonts w:asciiTheme="minorHAnsi" w:hAnsiTheme="minorHAnsi" w:cstheme="minorHAnsi"/>
          <w:color w:val="000000" w:themeColor="text1"/>
          <w:sz w:val="22"/>
          <w:szCs w:val="22"/>
          <w:lang w:val="en-US"/>
        </w:rPr>
        <w:t xml:space="preserve">S3 </w:t>
      </w:r>
      <w:r w:rsidR="00601672" w:rsidRPr="007A71D6">
        <w:rPr>
          <w:rFonts w:asciiTheme="minorHAnsi" w:hAnsiTheme="minorHAnsi" w:cstheme="minorHAnsi"/>
          <w:color w:val="000000" w:themeColor="text1"/>
          <w:sz w:val="22"/>
          <w:szCs w:val="22"/>
          <w:lang w:val="en-US"/>
        </w:rPr>
        <w:tab/>
      </w:r>
      <w:r w:rsidRPr="007A71D6">
        <w:rPr>
          <w:rFonts w:asciiTheme="minorHAnsi" w:hAnsiTheme="minorHAnsi" w:cstheme="minorHAnsi"/>
          <w:color w:val="000000" w:themeColor="text1"/>
          <w:sz w:val="22"/>
          <w:szCs w:val="22"/>
          <w:lang w:val="en-US"/>
        </w:rPr>
        <w:t xml:space="preserve">Design and implement curriculum-appropriate learning opportunities and experiences to reflect all aspects of the learning process </w:t>
      </w:r>
      <w:proofErr w:type="gramStart"/>
      <w:r w:rsidRPr="007A71D6">
        <w:rPr>
          <w:rFonts w:asciiTheme="minorHAnsi" w:hAnsiTheme="minorHAnsi" w:cstheme="minorHAnsi"/>
          <w:color w:val="000000" w:themeColor="text1"/>
          <w:sz w:val="22"/>
          <w:szCs w:val="22"/>
          <w:lang w:val="en-US"/>
        </w:rPr>
        <w:t>in light of</w:t>
      </w:r>
      <w:proofErr w:type="gramEnd"/>
      <w:r w:rsidRPr="007A71D6">
        <w:rPr>
          <w:rFonts w:asciiTheme="minorHAnsi" w:hAnsiTheme="minorHAnsi" w:cstheme="minorHAnsi"/>
          <w:color w:val="000000" w:themeColor="text1"/>
          <w:sz w:val="22"/>
          <w:szCs w:val="22"/>
          <w:lang w:val="en-US"/>
        </w:rPr>
        <w:t xml:space="preserve"> the subject, academic level, learner characteristics, context and the development of academic and transferable skills. </w:t>
      </w:r>
    </w:p>
    <w:p w:rsidR="000E67DB" w:rsidRPr="007A71D6" w:rsidRDefault="000E67DB" w:rsidP="00601672">
      <w:pPr>
        <w:pStyle w:val="Default"/>
        <w:ind w:left="426" w:hanging="426"/>
        <w:rPr>
          <w:rFonts w:asciiTheme="minorHAnsi" w:hAnsiTheme="minorHAnsi" w:cstheme="minorHAnsi"/>
          <w:color w:val="000000" w:themeColor="text1"/>
          <w:sz w:val="22"/>
          <w:szCs w:val="22"/>
          <w:lang w:val="en-US"/>
        </w:rPr>
      </w:pPr>
      <w:r w:rsidRPr="007A71D6">
        <w:rPr>
          <w:rFonts w:asciiTheme="minorHAnsi" w:hAnsiTheme="minorHAnsi" w:cstheme="minorHAnsi"/>
          <w:color w:val="000000" w:themeColor="text1"/>
          <w:sz w:val="22"/>
          <w:szCs w:val="22"/>
          <w:lang w:val="en-US"/>
        </w:rPr>
        <w:t xml:space="preserve">S4 </w:t>
      </w:r>
      <w:r w:rsidR="00601672" w:rsidRPr="007A71D6">
        <w:rPr>
          <w:rFonts w:asciiTheme="minorHAnsi" w:hAnsiTheme="minorHAnsi" w:cstheme="minorHAnsi"/>
          <w:color w:val="000000" w:themeColor="text1"/>
          <w:sz w:val="22"/>
          <w:szCs w:val="22"/>
          <w:lang w:val="en-US"/>
        </w:rPr>
        <w:tab/>
      </w:r>
      <w:r w:rsidRPr="007A71D6">
        <w:rPr>
          <w:rFonts w:asciiTheme="minorHAnsi" w:hAnsiTheme="minorHAnsi" w:cstheme="minorHAnsi"/>
          <w:color w:val="000000" w:themeColor="text1"/>
          <w:sz w:val="22"/>
          <w:szCs w:val="22"/>
          <w:lang w:val="en-US"/>
        </w:rPr>
        <w:t xml:space="preserve">Create and manage inclusive learning environments that promote engagement with the learning process and support. </w:t>
      </w:r>
    </w:p>
    <w:p w:rsidR="000E67DB" w:rsidRDefault="000E67DB" w:rsidP="00601672">
      <w:pPr>
        <w:ind w:left="426" w:hanging="426"/>
        <w:rPr>
          <w:rFonts w:cstheme="minorHAnsi"/>
          <w:color w:val="000000" w:themeColor="text1"/>
          <w:lang w:val="en-US"/>
        </w:rPr>
      </w:pPr>
      <w:r w:rsidRPr="007A71D6">
        <w:rPr>
          <w:rFonts w:cstheme="minorHAnsi"/>
          <w:color w:val="000000" w:themeColor="text1"/>
          <w:lang w:val="en-US"/>
        </w:rPr>
        <w:t xml:space="preserve">S5 </w:t>
      </w:r>
      <w:r w:rsidR="00601672" w:rsidRPr="007A71D6">
        <w:rPr>
          <w:rFonts w:cstheme="minorHAnsi"/>
          <w:color w:val="000000" w:themeColor="text1"/>
          <w:lang w:val="en-US"/>
        </w:rPr>
        <w:tab/>
      </w:r>
      <w:r w:rsidRPr="007A71D6">
        <w:rPr>
          <w:rFonts w:cstheme="minorHAnsi"/>
          <w:color w:val="000000" w:themeColor="text1"/>
          <w:lang w:val="en-US"/>
        </w:rPr>
        <w:t>Discuss the wider context in which Higher Education, the university and subject area operates in relation to policy and practice in learning and teaching.</w:t>
      </w:r>
    </w:p>
    <w:p w:rsidR="007A71D6" w:rsidRDefault="007A71D6" w:rsidP="00601672">
      <w:pPr>
        <w:pBdr>
          <w:bottom w:val="single" w:sz="6" w:space="1" w:color="auto"/>
        </w:pBdr>
        <w:ind w:left="426" w:hanging="426"/>
        <w:rPr>
          <w:rFonts w:cstheme="minorHAnsi"/>
          <w:color w:val="000000" w:themeColor="text1"/>
          <w:lang w:val="en-US"/>
        </w:rPr>
      </w:pPr>
    </w:p>
    <w:p w:rsidR="007A71D6" w:rsidRPr="007A71D6" w:rsidRDefault="007A71D6" w:rsidP="00601672">
      <w:pPr>
        <w:ind w:left="426" w:hanging="426"/>
        <w:rPr>
          <w:rFonts w:cstheme="minorHAnsi"/>
          <w:b/>
          <w:color w:val="000000" w:themeColor="text1"/>
          <w:lang w:val="en-US"/>
        </w:rPr>
      </w:pPr>
    </w:p>
    <w:sectPr w:rsidR="007A71D6" w:rsidRPr="007A71D6">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351" w:rsidRDefault="00ED5351" w:rsidP="009754E2">
      <w:pPr>
        <w:spacing w:after="0" w:line="240" w:lineRule="auto"/>
      </w:pPr>
      <w:r>
        <w:separator/>
      </w:r>
    </w:p>
  </w:endnote>
  <w:endnote w:type="continuationSeparator" w:id="0">
    <w:p w:rsidR="00ED5351" w:rsidRDefault="00ED5351" w:rsidP="0097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OS Blak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UOS Stephenso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4E2" w:rsidRDefault="00975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412441"/>
      <w:docPartObj>
        <w:docPartGallery w:val="Page Numbers (Bottom of Page)"/>
        <w:docPartUnique/>
      </w:docPartObj>
    </w:sdtPr>
    <w:sdtEndPr/>
    <w:sdtContent>
      <w:p w:rsidR="009754E2" w:rsidRDefault="009754E2">
        <w:pPr>
          <w:pStyle w:val="Footer"/>
          <w:jc w:val="right"/>
        </w:pPr>
        <w:r>
          <w:fldChar w:fldCharType="begin"/>
        </w:r>
        <w:r>
          <w:instrText>PAGE   \* MERGEFORMAT</w:instrText>
        </w:r>
        <w:r>
          <w:fldChar w:fldCharType="separate"/>
        </w:r>
        <w:r w:rsidR="00A319F3">
          <w:rPr>
            <w:noProof/>
          </w:rPr>
          <w:t>1</w:t>
        </w:r>
        <w:r>
          <w:fldChar w:fldCharType="end"/>
        </w:r>
      </w:p>
    </w:sdtContent>
  </w:sdt>
  <w:p w:rsidR="009754E2" w:rsidRDefault="00975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4E2" w:rsidRDefault="00975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351" w:rsidRDefault="00ED5351" w:rsidP="009754E2">
      <w:pPr>
        <w:spacing w:after="0" w:line="240" w:lineRule="auto"/>
      </w:pPr>
      <w:r>
        <w:separator/>
      </w:r>
    </w:p>
  </w:footnote>
  <w:footnote w:type="continuationSeparator" w:id="0">
    <w:p w:rsidR="00ED5351" w:rsidRDefault="00ED5351" w:rsidP="00975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4E2" w:rsidRDefault="00975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4E2" w:rsidRDefault="00975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4E2" w:rsidRDefault="00975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CDB"/>
    <w:multiLevelType w:val="hybridMultilevel"/>
    <w:tmpl w:val="CEAE653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126655"/>
    <w:multiLevelType w:val="hybridMultilevel"/>
    <w:tmpl w:val="5EC8789E"/>
    <w:lvl w:ilvl="0" w:tplc="56F46956">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15:restartNumberingAfterBreak="0">
    <w:nsid w:val="048109D7"/>
    <w:multiLevelType w:val="hybridMultilevel"/>
    <w:tmpl w:val="6ADA884E"/>
    <w:lvl w:ilvl="0" w:tplc="56F46956">
      <w:start w:val="1"/>
      <w:numFmt w:val="decimal"/>
      <w:lvlText w:val="%1."/>
      <w:lvlJc w:val="left"/>
      <w:pPr>
        <w:ind w:left="11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17949"/>
    <w:multiLevelType w:val="multilevel"/>
    <w:tmpl w:val="6E08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14FE6"/>
    <w:multiLevelType w:val="hybridMultilevel"/>
    <w:tmpl w:val="EE666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91879"/>
    <w:multiLevelType w:val="multilevel"/>
    <w:tmpl w:val="21FE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F4AD8"/>
    <w:multiLevelType w:val="hybridMultilevel"/>
    <w:tmpl w:val="ED0EC634"/>
    <w:lvl w:ilvl="0" w:tplc="42B6913C">
      <w:start w:val="1"/>
      <w:numFmt w:val="bullet"/>
      <w:lvlText w:val="•"/>
      <w:lvlJc w:val="left"/>
      <w:pPr>
        <w:tabs>
          <w:tab w:val="num" w:pos="720"/>
        </w:tabs>
        <w:ind w:left="720" w:hanging="360"/>
      </w:pPr>
      <w:rPr>
        <w:rFonts w:ascii="Arial" w:hAnsi="Arial" w:cs="Times New Roman" w:hint="default"/>
      </w:rPr>
    </w:lvl>
    <w:lvl w:ilvl="1" w:tplc="2CCAB3FE">
      <w:start w:val="1"/>
      <w:numFmt w:val="bullet"/>
      <w:lvlText w:val="•"/>
      <w:lvlJc w:val="left"/>
      <w:pPr>
        <w:tabs>
          <w:tab w:val="num" w:pos="1440"/>
        </w:tabs>
        <w:ind w:left="1440" w:hanging="360"/>
      </w:pPr>
      <w:rPr>
        <w:rFonts w:ascii="Arial" w:hAnsi="Arial" w:cs="Times New Roman" w:hint="default"/>
      </w:rPr>
    </w:lvl>
    <w:lvl w:ilvl="2" w:tplc="BB508FF0">
      <w:start w:val="1"/>
      <w:numFmt w:val="bullet"/>
      <w:lvlText w:val="•"/>
      <w:lvlJc w:val="left"/>
      <w:pPr>
        <w:tabs>
          <w:tab w:val="num" w:pos="2160"/>
        </w:tabs>
        <w:ind w:left="2160" w:hanging="360"/>
      </w:pPr>
      <w:rPr>
        <w:rFonts w:ascii="Arial" w:hAnsi="Arial" w:cs="Times New Roman" w:hint="default"/>
      </w:rPr>
    </w:lvl>
    <w:lvl w:ilvl="3" w:tplc="7B5E6CB0">
      <w:start w:val="1"/>
      <w:numFmt w:val="bullet"/>
      <w:lvlText w:val="•"/>
      <w:lvlJc w:val="left"/>
      <w:pPr>
        <w:tabs>
          <w:tab w:val="num" w:pos="2880"/>
        </w:tabs>
        <w:ind w:left="2880" w:hanging="360"/>
      </w:pPr>
      <w:rPr>
        <w:rFonts w:ascii="Arial" w:hAnsi="Arial" w:cs="Times New Roman" w:hint="default"/>
      </w:rPr>
    </w:lvl>
    <w:lvl w:ilvl="4" w:tplc="3E06BDA4">
      <w:start w:val="1"/>
      <w:numFmt w:val="bullet"/>
      <w:lvlText w:val="•"/>
      <w:lvlJc w:val="left"/>
      <w:pPr>
        <w:tabs>
          <w:tab w:val="num" w:pos="3600"/>
        </w:tabs>
        <w:ind w:left="3600" w:hanging="360"/>
      </w:pPr>
      <w:rPr>
        <w:rFonts w:ascii="Arial" w:hAnsi="Arial" w:cs="Times New Roman" w:hint="default"/>
      </w:rPr>
    </w:lvl>
    <w:lvl w:ilvl="5" w:tplc="C276E5CA">
      <w:start w:val="1"/>
      <w:numFmt w:val="bullet"/>
      <w:lvlText w:val="•"/>
      <w:lvlJc w:val="left"/>
      <w:pPr>
        <w:tabs>
          <w:tab w:val="num" w:pos="4320"/>
        </w:tabs>
        <w:ind w:left="4320" w:hanging="360"/>
      </w:pPr>
      <w:rPr>
        <w:rFonts w:ascii="Arial" w:hAnsi="Arial" w:cs="Times New Roman" w:hint="default"/>
      </w:rPr>
    </w:lvl>
    <w:lvl w:ilvl="6" w:tplc="09C29832">
      <w:start w:val="1"/>
      <w:numFmt w:val="bullet"/>
      <w:lvlText w:val="•"/>
      <w:lvlJc w:val="left"/>
      <w:pPr>
        <w:tabs>
          <w:tab w:val="num" w:pos="5040"/>
        </w:tabs>
        <w:ind w:left="5040" w:hanging="360"/>
      </w:pPr>
      <w:rPr>
        <w:rFonts w:ascii="Arial" w:hAnsi="Arial" w:cs="Times New Roman" w:hint="default"/>
      </w:rPr>
    </w:lvl>
    <w:lvl w:ilvl="7" w:tplc="3662D59E">
      <w:start w:val="1"/>
      <w:numFmt w:val="bullet"/>
      <w:lvlText w:val="•"/>
      <w:lvlJc w:val="left"/>
      <w:pPr>
        <w:tabs>
          <w:tab w:val="num" w:pos="5760"/>
        </w:tabs>
        <w:ind w:left="5760" w:hanging="360"/>
      </w:pPr>
      <w:rPr>
        <w:rFonts w:ascii="Arial" w:hAnsi="Arial" w:cs="Times New Roman" w:hint="default"/>
      </w:rPr>
    </w:lvl>
    <w:lvl w:ilvl="8" w:tplc="C15A2F2E">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38F418A9"/>
    <w:multiLevelType w:val="hybridMultilevel"/>
    <w:tmpl w:val="8C70176E"/>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A384213"/>
    <w:multiLevelType w:val="hybridMultilevel"/>
    <w:tmpl w:val="45AC6DDA"/>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9" w15:restartNumberingAfterBreak="0">
    <w:nsid w:val="3C0E2572"/>
    <w:multiLevelType w:val="multilevel"/>
    <w:tmpl w:val="65C0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E2287E"/>
    <w:multiLevelType w:val="multilevel"/>
    <w:tmpl w:val="3882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F4EE7"/>
    <w:multiLevelType w:val="multilevel"/>
    <w:tmpl w:val="934899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UOS Blake" w:hAnsi="TUOS Blake" w:cs="TUOS Blake"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E6779E"/>
    <w:multiLevelType w:val="hybridMultilevel"/>
    <w:tmpl w:val="93F0E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D773477"/>
    <w:multiLevelType w:val="hybridMultilevel"/>
    <w:tmpl w:val="037CFA4C"/>
    <w:lvl w:ilvl="0" w:tplc="D9E0F926">
      <w:start w:val="1"/>
      <w:numFmt w:val="bullet"/>
      <w:lvlText w:val="•"/>
      <w:lvlJc w:val="left"/>
      <w:pPr>
        <w:tabs>
          <w:tab w:val="num" w:pos="720"/>
        </w:tabs>
        <w:ind w:left="720" w:hanging="360"/>
      </w:pPr>
      <w:rPr>
        <w:rFonts w:ascii="Arial" w:hAnsi="Arial" w:cs="Times New Roman" w:hint="default"/>
      </w:rPr>
    </w:lvl>
    <w:lvl w:ilvl="1" w:tplc="D8420B6E">
      <w:start w:val="1"/>
      <w:numFmt w:val="bullet"/>
      <w:lvlText w:val="•"/>
      <w:lvlJc w:val="left"/>
      <w:pPr>
        <w:tabs>
          <w:tab w:val="num" w:pos="1440"/>
        </w:tabs>
        <w:ind w:left="1440" w:hanging="360"/>
      </w:pPr>
      <w:rPr>
        <w:rFonts w:ascii="Arial" w:hAnsi="Arial" w:cs="Times New Roman" w:hint="default"/>
      </w:rPr>
    </w:lvl>
    <w:lvl w:ilvl="2" w:tplc="BC0C99B2">
      <w:start w:val="1"/>
      <w:numFmt w:val="bullet"/>
      <w:lvlText w:val="•"/>
      <w:lvlJc w:val="left"/>
      <w:pPr>
        <w:tabs>
          <w:tab w:val="num" w:pos="2160"/>
        </w:tabs>
        <w:ind w:left="2160" w:hanging="360"/>
      </w:pPr>
      <w:rPr>
        <w:rFonts w:ascii="Arial" w:hAnsi="Arial" w:cs="Times New Roman" w:hint="default"/>
      </w:rPr>
    </w:lvl>
    <w:lvl w:ilvl="3" w:tplc="D1982E00">
      <w:start w:val="1"/>
      <w:numFmt w:val="bullet"/>
      <w:lvlText w:val="•"/>
      <w:lvlJc w:val="left"/>
      <w:pPr>
        <w:tabs>
          <w:tab w:val="num" w:pos="2880"/>
        </w:tabs>
        <w:ind w:left="2880" w:hanging="360"/>
      </w:pPr>
      <w:rPr>
        <w:rFonts w:ascii="Arial" w:hAnsi="Arial" w:cs="Times New Roman" w:hint="default"/>
      </w:rPr>
    </w:lvl>
    <w:lvl w:ilvl="4" w:tplc="06AAE4FA">
      <w:start w:val="1"/>
      <w:numFmt w:val="bullet"/>
      <w:lvlText w:val="•"/>
      <w:lvlJc w:val="left"/>
      <w:pPr>
        <w:tabs>
          <w:tab w:val="num" w:pos="3600"/>
        </w:tabs>
        <w:ind w:left="3600" w:hanging="360"/>
      </w:pPr>
      <w:rPr>
        <w:rFonts w:ascii="Arial" w:hAnsi="Arial" w:cs="Times New Roman" w:hint="default"/>
      </w:rPr>
    </w:lvl>
    <w:lvl w:ilvl="5" w:tplc="F940C0DE">
      <w:start w:val="1"/>
      <w:numFmt w:val="bullet"/>
      <w:lvlText w:val="•"/>
      <w:lvlJc w:val="left"/>
      <w:pPr>
        <w:tabs>
          <w:tab w:val="num" w:pos="4320"/>
        </w:tabs>
        <w:ind w:left="4320" w:hanging="360"/>
      </w:pPr>
      <w:rPr>
        <w:rFonts w:ascii="Arial" w:hAnsi="Arial" w:cs="Times New Roman" w:hint="default"/>
      </w:rPr>
    </w:lvl>
    <w:lvl w:ilvl="6" w:tplc="A0880878">
      <w:start w:val="1"/>
      <w:numFmt w:val="bullet"/>
      <w:lvlText w:val="•"/>
      <w:lvlJc w:val="left"/>
      <w:pPr>
        <w:tabs>
          <w:tab w:val="num" w:pos="5040"/>
        </w:tabs>
        <w:ind w:left="5040" w:hanging="360"/>
      </w:pPr>
      <w:rPr>
        <w:rFonts w:ascii="Arial" w:hAnsi="Arial" w:cs="Times New Roman" w:hint="default"/>
      </w:rPr>
    </w:lvl>
    <w:lvl w:ilvl="7" w:tplc="41F00AF8">
      <w:start w:val="1"/>
      <w:numFmt w:val="bullet"/>
      <w:lvlText w:val="•"/>
      <w:lvlJc w:val="left"/>
      <w:pPr>
        <w:tabs>
          <w:tab w:val="num" w:pos="5760"/>
        </w:tabs>
        <w:ind w:left="5760" w:hanging="360"/>
      </w:pPr>
      <w:rPr>
        <w:rFonts w:ascii="Arial" w:hAnsi="Arial" w:cs="Times New Roman" w:hint="default"/>
      </w:rPr>
    </w:lvl>
    <w:lvl w:ilvl="8" w:tplc="19AA0D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70DE3709"/>
    <w:multiLevelType w:val="multilevel"/>
    <w:tmpl w:val="116A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C1E6D"/>
    <w:multiLevelType w:val="multilevel"/>
    <w:tmpl w:val="D7602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3"/>
  </w:num>
  <w:num w:numId="3">
    <w:abstractNumId w:val="9"/>
  </w:num>
  <w:num w:numId="4">
    <w:abstractNumId w:val="5"/>
  </w:num>
  <w:num w:numId="5">
    <w:abstractNumId w:val="3"/>
  </w:num>
  <w:num w:numId="6">
    <w:abstractNumId w:val="11"/>
  </w:num>
  <w:num w:numId="7">
    <w:abstractNumId w:val="10"/>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num>
  <w:num w:numId="12">
    <w:abstractNumId w:val="4"/>
  </w:num>
  <w:num w:numId="13">
    <w:abstractNumId w:val="1"/>
  </w:num>
  <w:num w:numId="14">
    <w:abstractNumId w:val="14"/>
  </w:num>
  <w:num w:numId="15">
    <w:abstractNumId w:val="2"/>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BC"/>
    <w:rsid w:val="00011E6F"/>
    <w:rsid w:val="00057A98"/>
    <w:rsid w:val="000E67DB"/>
    <w:rsid w:val="002264E5"/>
    <w:rsid w:val="00263848"/>
    <w:rsid w:val="002C7C94"/>
    <w:rsid w:val="002F7E4B"/>
    <w:rsid w:val="0030308C"/>
    <w:rsid w:val="00383454"/>
    <w:rsid w:val="003F7953"/>
    <w:rsid w:val="00601527"/>
    <w:rsid w:val="00601672"/>
    <w:rsid w:val="00745DAF"/>
    <w:rsid w:val="007A1EBC"/>
    <w:rsid w:val="007A71D6"/>
    <w:rsid w:val="007B0DF8"/>
    <w:rsid w:val="007E0DEE"/>
    <w:rsid w:val="009754E2"/>
    <w:rsid w:val="00A319F3"/>
    <w:rsid w:val="00B430C2"/>
    <w:rsid w:val="00B43609"/>
    <w:rsid w:val="00D25861"/>
    <w:rsid w:val="00D9072C"/>
    <w:rsid w:val="00DC7A26"/>
    <w:rsid w:val="00DF2361"/>
    <w:rsid w:val="00ED53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F920"/>
  <w15:chartTrackingRefBased/>
  <w15:docId w15:val="{87C88F0B-6C8D-4532-8121-211C13E8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E0D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EBC"/>
    <w:rPr>
      <w:color w:val="0000FF"/>
      <w:u w:val="single"/>
    </w:rPr>
  </w:style>
  <w:style w:type="paragraph" w:styleId="NormalWeb">
    <w:name w:val="Normal (Web)"/>
    <w:basedOn w:val="Normal"/>
    <w:uiPriority w:val="99"/>
    <w:semiHidden/>
    <w:unhideWhenUsed/>
    <w:rsid w:val="007A1EB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Emphasis">
    <w:name w:val="Emphasis"/>
    <w:basedOn w:val="DefaultParagraphFont"/>
    <w:uiPriority w:val="20"/>
    <w:qFormat/>
    <w:rsid w:val="007A1EBC"/>
    <w:rPr>
      <w:i/>
      <w:iCs/>
    </w:rPr>
  </w:style>
  <w:style w:type="character" w:customStyle="1" w:styleId="Heading1Char">
    <w:name w:val="Heading 1 Char"/>
    <w:basedOn w:val="DefaultParagraphFont"/>
    <w:link w:val="Heading1"/>
    <w:uiPriority w:val="9"/>
    <w:rsid w:val="007E0DEE"/>
    <w:rPr>
      <w:rFonts w:ascii="Times New Roman" w:eastAsia="Times New Roman" w:hAnsi="Times New Roman" w:cs="Times New Roman"/>
      <w:b/>
      <w:bCs/>
      <w:kern w:val="36"/>
      <w:sz w:val="48"/>
      <w:szCs w:val="48"/>
      <w:lang w:eastAsia="da-DK"/>
    </w:rPr>
  </w:style>
  <w:style w:type="character" w:styleId="Mention">
    <w:name w:val="Mention"/>
    <w:basedOn w:val="DefaultParagraphFont"/>
    <w:uiPriority w:val="99"/>
    <w:semiHidden/>
    <w:unhideWhenUsed/>
    <w:rsid w:val="00263848"/>
    <w:rPr>
      <w:color w:val="2B579A"/>
      <w:shd w:val="clear" w:color="auto" w:fill="E6E6E6"/>
    </w:rPr>
  </w:style>
  <w:style w:type="paragraph" w:styleId="Header">
    <w:name w:val="header"/>
    <w:basedOn w:val="Normal"/>
    <w:link w:val="HeaderChar"/>
    <w:uiPriority w:val="99"/>
    <w:unhideWhenUsed/>
    <w:rsid w:val="009754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4E2"/>
  </w:style>
  <w:style w:type="paragraph" w:styleId="Footer">
    <w:name w:val="footer"/>
    <w:basedOn w:val="Normal"/>
    <w:link w:val="FooterChar"/>
    <w:uiPriority w:val="99"/>
    <w:unhideWhenUsed/>
    <w:rsid w:val="009754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4E2"/>
  </w:style>
  <w:style w:type="paragraph" w:customStyle="1" w:styleId="Default">
    <w:name w:val="Default"/>
    <w:rsid w:val="000E67DB"/>
    <w:pPr>
      <w:autoSpaceDE w:val="0"/>
      <w:autoSpaceDN w:val="0"/>
      <w:adjustRightInd w:val="0"/>
      <w:spacing w:after="0" w:line="240" w:lineRule="auto"/>
    </w:pPr>
    <w:rPr>
      <w:rFonts w:ascii="TUOS Stephenson" w:hAnsi="TUOS Stephenson" w:cs="TUOS Stephenson"/>
      <w:color w:val="000000"/>
      <w:sz w:val="24"/>
      <w:szCs w:val="24"/>
    </w:rPr>
  </w:style>
  <w:style w:type="paragraph" w:styleId="ListParagraph">
    <w:name w:val="List Paragraph"/>
    <w:basedOn w:val="Normal"/>
    <w:uiPriority w:val="34"/>
    <w:qFormat/>
    <w:rsid w:val="00DF2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98265">
      <w:bodyDiv w:val="1"/>
      <w:marLeft w:val="0"/>
      <w:marRight w:val="0"/>
      <w:marTop w:val="0"/>
      <w:marBottom w:val="0"/>
      <w:divBdr>
        <w:top w:val="none" w:sz="0" w:space="0" w:color="auto"/>
        <w:left w:val="none" w:sz="0" w:space="0" w:color="auto"/>
        <w:bottom w:val="none" w:sz="0" w:space="0" w:color="auto"/>
        <w:right w:val="none" w:sz="0" w:space="0" w:color="auto"/>
      </w:divBdr>
    </w:div>
    <w:div w:id="509638969">
      <w:bodyDiv w:val="1"/>
      <w:marLeft w:val="0"/>
      <w:marRight w:val="0"/>
      <w:marTop w:val="0"/>
      <w:marBottom w:val="0"/>
      <w:divBdr>
        <w:top w:val="none" w:sz="0" w:space="0" w:color="auto"/>
        <w:left w:val="none" w:sz="0" w:space="0" w:color="auto"/>
        <w:bottom w:val="none" w:sz="0" w:space="0" w:color="auto"/>
        <w:right w:val="none" w:sz="0" w:space="0" w:color="auto"/>
      </w:divBdr>
    </w:div>
    <w:div w:id="588587505">
      <w:bodyDiv w:val="1"/>
      <w:marLeft w:val="0"/>
      <w:marRight w:val="0"/>
      <w:marTop w:val="0"/>
      <w:marBottom w:val="0"/>
      <w:divBdr>
        <w:top w:val="none" w:sz="0" w:space="0" w:color="auto"/>
        <w:left w:val="none" w:sz="0" w:space="0" w:color="auto"/>
        <w:bottom w:val="none" w:sz="0" w:space="0" w:color="auto"/>
        <w:right w:val="none" w:sz="0" w:space="0" w:color="auto"/>
      </w:divBdr>
    </w:div>
    <w:div w:id="686370950">
      <w:bodyDiv w:val="1"/>
      <w:marLeft w:val="0"/>
      <w:marRight w:val="0"/>
      <w:marTop w:val="0"/>
      <w:marBottom w:val="0"/>
      <w:divBdr>
        <w:top w:val="none" w:sz="0" w:space="0" w:color="auto"/>
        <w:left w:val="none" w:sz="0" w:space="0" w:color="auto"/>
        <w:bottom w:val="none" w:sz="0" w:space="0" w:color="auto"/>
        <w:right w:val="none" w:sz="0" w:space="0" w:color="auto"/>
      </w:divBdr>
    </w:div>
    <w:div w:id="774404503">
      <w:bodyDiv w:val="1"/>
      <w:marLeft w:val="0"/>
      <w:marRight w:val="0"/>
      <w:marTop w:val="0"/>
      <w:marBottom w:val="0"/>
      <w:divBdr>
        <w:top w:val="none" w:sz="0" w:space="0" w:color="auto"/>
        <w:left w:val="none" w:sz="0" w:space="0" w:color="auto"/>
        <w:bottom w:val="none" w:sz="0" w:space="0" w:color="auto"/>
        <w:right w:val="none" w:sz="0" w:space="0" w:color="auto"/>
      </w:divBdr>
    </w:div>
    <w:div w:id="970212385">
      <w:bodyDiv w:val="1"/>
      <w:marLeft w:val="0"/>
      <w:marRight w:val="0"/>
      <w:marTop w:val="0"/>
      <w:marBottom w:val="0"/>
      <w:divBdr>
        <w:top w:val="none" w:sz="0" w:space="0" w:color="auto"/>
        <w:left w:val="none" w:sz="0" w:space="0" w:color="auto"/>
        <w:bottom w:val="none" w:sz="0" w:space="0" w:color="auto"/>
        <w:right w:val="none" w:sz="0" w:space="0" w:color="auto"/>
      </w:divBdr>
    </w:div>
    <w:div w:id="1453209879">
      <w:bodyDiv w:val="1"/>
      <w:marLeft w:val="0"/>
      <w:marRight w:val="0"/>
      <w:marTop w:val="0"/>
      <w:marBottom w:val="0"/>
      <w:divBdr>
        <w:top w:val="none" w:sz="0" w:space="0" w:color="auto"/>
        <w:left w:val="none" w:sz="0" w:space="0" w:color="auto"/>
        <w:bottom w:val="none" w:sz="0" w:space="0" w:color="auto"/>
        <w:right w:val="none" w:sz="0" w:space="0" w:color="auto"/>
      </w:divBdr>
    </w:div>
    <w:div w:id="1514415783">
      <w:bodyDiv w:val="1"/>
      <w:marLeft w:val="0"/>
      <w:marRight w:val="0"/>
      <w:marTop w:val="0"/>
      <w:marBottom w:val="0"/>
      <w:divBdr>
        <w:top w:val="none" w:sz="0" w:space="0" w:color="auto"/>
        <w:left w:val="none" w:sz="0" w:space="0" w:color="auto"/>
        <w:bottom w:val="none" w:sz="0" w:space="0" w:color="auto"/>
        <w:right w:val="none" w:sz="0" w:space="0" w:color="auto"/>
      </w:divBdr>
    </w:div>
    <w:div w:id="1778671571">
      <w:bodyDiv w:val="1"/>
      <w:marLeft w:val="0"/>
      <w:marRight w:val="0"/>
      <w:marTop w:val="0"/>
      <w:marBottom w:val="0"/>
      <w:divBdr>
        <w:top w:val="none" w:sz="0" w:space="0" w:color="auto"/>
        <w:left w:val="none" w:sz="0" w:space="0" w:color="auto"/>
        <w:bottom w:val="none" w:sz="0" w:space="0" w:color="auto"/>
        <w:right w:val="none" w:sz="0" w:space="0" w:color="auto"/>
      </w:divBdr>
    </w:div>
    <w:div w:id="1883206517">
      <w:bodyDiv w:val="1"/>
      <w:marLeft w:val="0"/>
      <w:marRight w:val="0"/>
      <w:marTop w:val="0"/>
      <w:marBottom w:val="0"/>
      <w:divBdr>
        <w:top w:val="none" w:sz="0" w:space="0" w:color="auto"/>
        <w:left w:val="none" w:sz="0" w:space="0" w:color="auto"/>
        <w:bottom w:val="none" w:sz="0" w:space="0" w:color="auto"/>
        <w:right w:val="none" w:sz="0" w:space="0" w:color="auto"/>
      </w:divBdr>
    </w:div>
    <w:div w:id="1908492426">
      <w:bodyDiv w:val="1"/>
      <w:marLeft w:val="0"/>
      <w:marRight w:val="0"/>
      <w:marTop w:val="0"/>
      <w:marBottom w:val="0"/>
      <w:divBdr>
        <w:top w:val="none" w:sz="0" w:space="0" w:color="auto"/>
        <w:left w:val="none" w:sz="0" w:space="0" w:color="auto"/>
        <w:bottom w:val="none" w:sz="0" w:space="0" w:color="auto"/>
        <w:right w:val="none" w:sz="0" w:space="0" w:color="auto"/>
      </w:divBdr>
    </w:div>
    <w:div w:id="2013297150">
      <w:bodyDiv w:val="1"/>
      <w:marLeft w:val="0"/>
      <w:marRight w:val="0"/>
      <w:marTop w:val="0"/>
      <w:marBottom w:val="0"/>
      <w:divBdr>
        <w:top w:val="none" w:sz="0" w:space="0" w:color="auto"/>
        <w:left w:val="none" w:sz="0" w:space="0" w:color="auto"/>
        <w:bottom w:val="none" w:sz="0" w:space="0" w:color="auto"/>
        <w:right w:val="none" w:sz="0" w:space="0" w:color="auto"/>
      </w:divBdr>
    </w:div>
    <w:div w:id="2029211605">
      <w:bodyDiv w:val="1"/>
      <w:marLeft w:val="0"/>
      <w:marRight w:val="0"/>
      <w:marTop w:val="0"/>
      <w:marBottom w:val="0"/>
      <w:divBdr>
        <w:top w:val="none" w:sz="0" w:space="0" w:color="auto"/>
        <w:left w:val="none" w:sz="0" w:space="0" w:color="auto"/>
        <w:bottom w:val="none" w:sz="0" w:space="0" w:color="auto"/>
        <w:right w:val="none" w:sz="0" w:space="0" w:color="auto"/>
      </w:divBdr>
    </w:div>
    <w:div w:id="203549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eacademy.ac.uk/recognition-accreditation/uk-professional-standards-framework-ukps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Hurford</dc:creator>
  <cp:keywords/>
  <dc:description/>
  <cp:lastModifiedBy>Phil Race</cp:lastModifiedBy>
  <cp:revision>2</cp:revision>
  <dcterms:created xsi:type="dcterms:W3CDTF">2018-11-17T21:10:00Z</dcterms:created>
  <dcterms:modified xsi:type="dcterms:W3CDTF">2018-11-17T21:10:00Z</dcterms:modified>
</cp:coreProperties>
</file>